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318BD">
      <w:pPr>
        <w:keepNext w:val="0"/>
        <w:keepLines w:val="0"/>
        <w:pageBreakBefore w:val="0"/>
        <w:shd w:val="clear"/>
        <w:topLinePunct/>
        <w:bidi w:val="0"/>
        <w:adjustRightInd w:val="0"/>
        <w:snapToGrid w:val="0"/>
        <w:spacing w:line="360" w:lineRule="auto"/>
        <w:ind w:firstLine="0" w:firstLineChars="0"/>
        <w:jc w:val="center"/>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textWrapping"/>
      </w:r>
    </w:p>
    <w:p w14:paraId="4D5A5479">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b/>
          <w:bCs/>
          <w:color w:val="auto"/>
          <w:sz w:val="72"/>
          <w:szCs w:val="72"/>
          <w:highlight w:val="none"/>
        </w:rPr>
      </w:pPr>
    </w:p>
    <w:p w14:paraId="0F844570">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b/>
          <w:bCs/>
          <w:color w:val="auto"/>
          <w:sz w:val="72"/>
          <w:szCs w:val="72"/>
          <w:highlight w:val="none"/>
        </w:rPr>
      </w:pPr>
    </w:p>
    <w:p w14:paraId="71C03DC6">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公</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rPr>
        <w:t>开</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rPr>
        <w:t>招</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rPr>
        <w:t>标</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rPr>
        <w:t>文</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rPr>
        <w:t>件</w:t>
      </w:r>
    </w:p>
    <w:p w14:paraId="3EE2ED88">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b/>
          <w:bCs/>
          <w:color w:val="auto"/>
          <w:sz w:val="72"/>
          <w:szCs w:val="72"/>
          <w:highlight w:val="none"/>
        </w:rPr>
      </w:pPr>
    </w:p>
    <w:p w14:paraId="6EB1A610">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b/>
          <w:bCs/>
          <w:color w:val="auto"/>
          <w:sz w:val="60"/>
          <w:szCs w:val="60"/>
          <w:highlight w:val="none"/>
        </w:rPr>
      </w:pPr>
    </w:p>
    <w:p w14:paraId="704BB1B7">
      <w:pPr>
        <w:keepNext w:val="0"/>
        <w:keepLines w:val="0"/>
        <w:pageBreakBefore w:val="0"/>
        <w:widowControl w:val="0"/>
        <w:shd w:val="clear"/>
        <w:kinsoku/>
        <w:wordWrap/>
        <w:overflowPunct/>
        <w:topLinePunct/>
        <w:autoSpaceDE/>
        <w:autoSpaceDN/>
        <w:bidi w:val="0"/>
        <w:adjustRightInd w:val="0"/>
        <w:snapToGrid w:val="0"/>
        <w:outlineLvl w:val="9"/>
        <w:rPr>
          <w:rFonts w:hint="eastAsia" w:ascii="宋体" w:hAnsi="宋体" w:eastAsia="宋体" w:cs="宋体"/>
          <w:b/>
          <w:bCs/>
          <w:color w:val="auto"/>
          <w:sz w:val="60"/>
          <w:szCs w:val="60"/>
          <w:highlight w:val="none"/>
        </w:rPr>
      </w:pPr>
    </w:p>
    <w:p w14:paraId="33C87F4C">
      <w:pPr>
        <w:keepNext w:val="0"/>
        <w:keepLines w:val="0"/>
        <w:pageBreakBefore w:val="0"/>
        <w:widowControl w:val="0"/>
        <w:shd w:val="clear"/>
        <w:kinsoku/>
        <w:wordWrap/>
        <w:overflowPunct/>
        <w:topLinePunct/>
        <w:autoSpaceDE/>
        <w:autoSpaceDN/>
        <w:bidi w:val="0"/>
        <w:adjustRightInd w:val="0"/>
        <w:snapToGrid w:val="0"/>
        <w:outlineLvl w:val="9"/>
        <w:rPr>
          <w:rFonts w:hint="eastAsia" w:ascii="宋体" w:hAnsi="宋体" w:eastAsia="宋体" w:cs="宋体"/>
          <w:color w:val="auto"/>
          <w:highlight w:val="none"/>
        </w:rPr>
      </w:pPr>
    </w:p>
    <w:p w14:paraId="36B88715">
      <w:pPr>
        <w:keepNext w:val="0"/>
        <w:keepLines w:val="0"/>
        <w:pageBreakBefore w:val="0"/>
        <w:widowControl w:val="0"/>
        <w:shd w:val="clear"/>
        <w:tabs>
          <w:tab w:val="left" w:pos="3240"/>
          <w:tab w:val="left" w:pos="3420"/>
        </w:tabs>
        <w:kinsoku/>
        <w:wordWrap/>
        <w:overflowPunct/>
        <w:topLinePunct/>
        <w:autoSpaceDE/>
        <w:autoSpaceDN/>
        <w:bidi w:val="0"/>
        <w:adjustRightInd w:val="0"/>
        <w:snapToGrid w:val="0"/>
        <w:spacing w:line="480" w:lineRule="auto"/>
        <w:jc w:val="left"/>
        <w:textAlignment w:val="auto"/>
        <w:outlineLvl w:val="9"/>
        <w:rPr>
          <w:rFonts w:hint="eastAsia" w:ascii="宋体" w:hAnsi="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常州市钟楼区行政中心机关食堂餐饮服务及管理项目</w:t>
      </w:r>
    </w:p>
    <w:p w14:paraId="4841C389">
      <w:pPr>
        <w:keepNext w:val="0"/>
        <w:keepLines w:val="0"/>
        <w:pageBreakBefore w:val="0"/>
        <w:widowControl w:val="0"/>
        <w:shd w:val="clear"/>
        <w:tabs>
          <w:tab w:val="left" w:pos="3240"/>
          <w:tab w:val="left" w:pos="3420"/>
        </w:tabs>
        <w:kinsoku/>
        <w:wordWrap/>
        <w:overflowPunct/>
        <w:topLinePunct/>
        <w:autoSpaceDE/>
        <w:autoSpaceDN/>
        <w:bidi w:val="0"/>
        <w:adjustRightInd w:val="0"/>
        <w:snapToGrid w:val="0"/>
        <w:spacing w:line="480" w:lineRule="auto"/>
        <w:jc w:val="left"/>
        <w:textAlignment w:val="auto"/>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JSZC-320404-QFZB-G2026-0012</w:t>
      </w:r>
    </w:p>
    <w:p w14:paraId="2C7DC5FC">
      <w:pPr>
        <w:keepNext w:val="0"/>
        <w:keepLines w:val="0"/>
        <w:pageBreakBefore w:val="0"/>
        <w:widowControl w:val="0"/>
        <w:shd w:val="clear"/>
        <w:tabs>
          <w:tab w:val="left" w:pos="3240"/>
          <w:tab w:val="left" w:pos="3420"/>
        </w:tabs>
        <w:kinsoku/>
        <w:wordWrap/>
        <w:overflowPunct/>
        <w:topLinePunct/>
        <w:autoSpaceDE/>
        <w:autoSpaceDN/>
        <w:bidi w:val="0"/>
        <w:adjustRightInd w:val="0"/>
        <w:snapToGrid w:val="0"/>
        <w:spacing w:line="480" w:lineRule="auto"/>
        <w:jc w:val="left"/>
        <w:textAlignment w:val="auto"/>
        <w:outlineLvl w:val="9"/>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采购人：</w:t>
      </w:r>
      <w:r>
        <w:rPr>
          <w:rFonts w:hint="eastAsia" w:ascii="宋体" w:hAnsi="宋体" w:cs="宋体"/>
          <w:bCs/>
          <w:color w:val="auto"/>
          <w:sz w:val="32"/>
          <w:szCs w:val="32"/>
          <w:highlight w:val="none"/>
          <w:lang w:eastAsia="zh-CN"/>
        </w:rPr>
        <w:t>常州市钟楼区机关事务管理中心</w:t>
      </w:r>
    </w:p>
    <w:p w14:paraId="13B04E08">
      <w:pPr>
        <w:keepNext w:val="0"/>
        <w:keepLines w:val="0"/>
        <w:pageBreakBefore w:val="0"/>
        <w:widowControl w:val="0"/>
        <w:shd w:val="clear"/>
        <w:tabs>
          <w:tab w:val="left" w:pos="3240"/>
          <w:tab w:val="left" w:pos="3420"/>
        </w:tabs>
        <w:kinsoku/>
        <w:wordWrap/>
        <w:overflowPunct/>
        <w:topLinePunct/>
        <w:autoSpaceDE/>
        <w:autoSpaceDN/>
        <w:bidi w:val="0"/>
        <w:adjustRightInd w:val="0"/>
        <w:snapToGrid w:val="0"/>
        <w:spacing w:line="480" w:lineRule="auto"/>
        <w:jc w:val="left"/>
        <w:textAlignment w:val="auto"/>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采购代理机构：</w:t>
      </w:r>
      <w:r>
        <w:rPr>
          <w:rFonts w:hint="eastAsia" w:ascii="宋体" w:hAnsi="宋体" w:eastAsia="宋体" w:cs="宋体"/>
          <w:bCs/>
          <w:color w:val="auto"/>
          <w:sz w:val="32"/>
          <w:szCs w:val="32"/>
          <w:highlight w:val="none"/>
          <w:lang w:val="en-US" w:eastAsia="zh-CN"/>
        </w:rPr>
        <w:t>常州青枫招标有限公司</w:t>
      </w:r>
      <w:bookmarkStart w:id="0" w:name="_Toc99301418"/>
    </w:p>
    <w:p w14:paraId="43E2CB3A">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lang w:val="en-US" w:eastAsia="zh-CN"/>
        </w:rPr>
        <w:br w:type="page"/>
      </w:r>
    </w:p>
    <w:p w14:paraId="416EBCD1">
      <w:pPr>
        <w:keepNext w:val="0"/>
        <w:keepLines w:val="0"/>
        <w:pageBreakBefore w:val="0"/>
        <w:widowControl w:val="0"/>
        <w:shd w:val="clear"/>
        <w:tabs>
          <w:tab w:val="left" w:pos="3240"/>
          <w:tab w:val="left" w:pos="3420"/>
        </w:tabs>
        <w:kinsoku/>
        <w:wordWrap/>
        <w:overflowPunct/>
        <w:topLinePunct/>
        <w:autoSpaceDE/>
        <w:autoSpaceDN/>
        <w:bidi w:val="0"/>
        <w:adjustRightInd w:val="0"/>
        <w:snapToGrid w:val="0"/>
        <w:spacing w:line="600" w:lineRule="auto"/>
        <w:jc w:val="center"/>
        <w:textAlignment w:val="auto"/>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44"/>
          <w:szCs w:val="44"/>
          <w:highlight w:val="none"/>
        </w:rPr>
        <w:t>目      录</w:t>
      </w:r>
      <w:bookmarkEnd w:id="0"/>
    </w:p>
    <w:p w14:paraId="5200748B">
      <w:pPr>
        <w:pStyle w:val="14"/>
        <w:tabs>
          <w:tab w:val="right" w:leader="dot" w:pos="9026"/>
          <w:tab w:val="clear" w:pos="1050"/>
          <w:tab w:val="clear" w:pos="8937"/>
        </w:tabs>
        <w:spacing w:line="600" w:lineRule="auto"/>
        <w:rPr>
          <w:sz w:val="32"/>
          <w:szCs w:val="32"/>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32"/>
          <w:szCs w:val="32"/>
          <w:highlight w:val="none"/>
        </w:rPr>
        <w:fldChar w:fldCharType="begin"/>
      </w:r>
      <w:r>
        <w:rPr>
          <w:rFonts w:hint="eastAsia" w:ascii="宋体" w:hAnsi="宋体" w:eastAsia="宋体" w:cs="宋体"/>
          <w:bCs/>
          <w:sz w:val="32"/>
          <w:szCs w:val="32"/>
          <w:highlight w:val="none"/>
        </w:rPr>
        <w:instrText xml:space="preserve"> HYPERLINK \l _Toc31663 </w:instrText>
      </w:r>
      <w:r>
        <w:rPr>
          <w:rFonts w:hint="eastAsia" w:ascii="宋体" w:hAnsi="宋体" w:eastAsia="宋体" w:cs="宋体"/>
          <w:bCs/>
          <w:sz w:val="32"/>
          <w:szCs w:val="32"/>
          <w:highlight w:val="none"/>
        </w:rPr>
        <w:fldChar w:fldCharType="separate"/>
      </w:r>
      <w:r>
        <w:rPr>
          <w:rFonts w:hint="eastAsia" w:ascii="宋体" w:hAnsi="宋体" w:eastAsia="宋体" w:cs="宋体"/>
          <w:sz w:val="32"/>
          <w:szCs w:val="32"/>
          <w:highlight w:val="none"/>
        </w:rPr>
        <w:t>第一章</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投标邀请</w:t>
      </w:r>
      <w:r>
        <w:rPr>
          <w:sz w:val="32"/>
          <w:szCs w:val="32"/>
        </w:rPr>
        <w:tab/>
      </w:r>
      <w:r>
        <w:rPr>
          <w:sz w:val="32"/>
          <w:szCs w:val="32"/>
        </w:rPr>
        <w:fldChar w:fldCharType="begin"/>
      </w:r>
      <w:r>
        <w:rPr>
          <w:sz w:val="32"/>
          <w:szCs w:val="32"/>
        </w:rPr>
        <w:instrText xml:space="preserve"> PAGEREF _Toc31663 \h </w:instrText>
      </w:r>
      <w:r>
        <w:rPr>
          <w:sz w:val="32"/>
          <w:szCs w:val="32"/>
        </w:rPr>
        <w:fldChar w:fldCharType="separate"/>
      </w:r>
      <w:r>
        <w:rPr>
          <w:sz w:val="32"/>
          <w:szCs w:val="32"/>
        </w:rPr>
        <w:t>3</w:t>
      </w:r>
      <w:r>
        <w:rPr>
          <w:sz w:val="32"/>
          <w:szCs w:val="32"/>
        </w:rPr>
        <w:fldChar w:fldCharType="end"/>
      </w:r>
      <w:r>
        <w:rPr>
          <w:rFonts w:hint="eastAsia" w:ascii="宋体" w:hAnsi="宋体" w:eastAsia="宋体" w:cs="宋体"/>
          <w:bCs/>
          <w:color w:val="auto"/>
          <w:sz w:val="32"/>
          <w:szCs w:val="32"/>
          <w:highlight w:val="none"/>
        </w:rPr>
        <w:fldChar w:fldCharType="end"/>
      </w:r>
    </w:p>
    <w:p w14:paraId="603A61E1">
      <w:pPr>
        <w:pStyle w:val="14"/>
        <w:tabs>
          <w:tab w:val="right" w:leader="dot" w:pos="9026"/>
          <w:tab w:val="clear" w:pos="1050"/>
          <w:tab w:val="clear" w:pos="8937"/>
        </w:tabs>
        <w:spacing w:line="600" w:lineRule="auto"/>
        <w:rPr>
          <w:sz w:val="32"/>
          <w:szCs w:val="32"/>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sz w:val="32"/>
          <w:szCs w:val="32"/>
          <w:highlight w:val="none"/>
        </w:rPr>
        <w:instrText xml:space="preserve"> HYPERLINK \l _Toc25298 </w:instrText>
      </w:r>
      <w:r>
        <w:rPr>
          <w:rFonts w:hint="eastAsia" w:ascii="宋体" w:hAnsi="宋体" w:eastAsia="宋体" w:cs="宋体"/>
          <w:bCs/>
          <w:sz w:val="32"/>
          <w:szCs w:val="32"/>
          <w:highlight w:val="none"/>
        </w:rPr>
        <w:fldChar w:fldCharType="separate"/>
      </w:r>
      <w:r>
        <w:rPr>
          <w:rFonts w:hint="eastAsia" w:ascii="宋体" w:hAnsi="宋体" w:eastAsia="宋体" w:cs="宋体"/>
          <w:sz w:val="32"/>
          <w:szCs w:val="32"/>
          <w:highlight w:val="none"/>
        </w:rPr>
        <w:t>第二章</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投标人须知</w:t>
      </w:r>
      <w:r>
        <w:rPr>
          <w:sz w:val="32"/>
          <w:szCs w:val="32"/>
        </w:rPr>
        <w:tab/>
      </w:r>
      <w:r>
        <w:rPr>
          <w:sz w:val="32"/>
          <w:szCs w:val="32"/>
        </w:rPr>
        <w:fldChar w:fldCharType="begin"/>
      </w:r>
      <w:r>
        <w:rPr>
          <w:sz w:val="32"/>
          <w:szCs w:val="32"/>
        </w:rPr>
        <w:instrText xml:space="preserve"> PAGEREF _Toc25298 \h </w:instrText>
      </w:r>
      <w:r>
        <w:rPr>
          <w:sz w:val="32"/>
          <w:szCs w:val="32"/>
        </w:rPr>
        <w:fldChar w:fldCharType="separate"/>
      </w:r>
      <w:r>
        <w:rPr>
          <w:sz w:val="32"/>
          <w:szCs w:val="32"/>
        </w:rPr>
        <w:t>6</w:t>
      </w:r>
      <w:r>
        <w:rPr>
          <w:sz w:val="32"/>
          <w:szCs w:val="32"/>
        </w:rPr>
        <w:fldChar w:fldCharType="end"/>
      </w:r>
      <w:r>
        <w:rPr>
          <w:rFonts w:hint="eastAsia" w:ascii="宋体" w:hAnsi="宋体" w:eastAsia="宋体" w:cs="宋体"/>
          <w:bCs/>
          <w:color w:val="auto"/>
          <w:sz w:val="32"/>
          <w:szCs w:val="32"/>
          <w:highlight w:val="none"/>
        </w:rPr>
        <w:fldChar w:fldCharType="end"/>
      </w:r>
    </w:p>
    <w:p w14:paraId="53B3AFE6">
      <w:pPr>
        <w:pStyle w:val="14"/>
        <w:tabs>
          <w:tab w:val="right" w:leader="dot" w:pos="9026"/>
          <w:tab w:val="clear" w:pos="1050"/>
          <w:tab w:val="clear" w:pos="8937"/>
        </w:tabs>
        <w:spacing w:line="600" w:lineRule="auto"/>
        <w:rPr>
          <w:sz w:val="32"/>
          <w:szCs w:val="32"/>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sz w:val="32"/>
          <w:szCs w:val="32"/>
          <w:highlight w:val="none"/>
        </w:rPr>
        <w:instrText xml:space="preserve"> HYPERLINK \l _Toc30500 </w:instrText>
      </w:r>
      <w:r>
        <w:rPr>
          <w:rFonts w:hint="eastAsia" w:ascii="宋体" w:hAnsi="宋体" w:eastAsia="宋体" w:cs="宋体"/>
          <w:bCs/>
          <w:sz w:val="32"/>
          <w:szCs w:val="32"/>
          <w:highlight w:val="none"/>
        </w:rPr>
        <w:fldChar w:fldCharType="separate"/>
      </w:r>
      <w:r>
        <w:rPr>
          <w:rFonts w:hint="eastAsia" w:ascii="宋体" w:hAnsi="宋体" w:eastAsia="宋体" w:cs="宋体"/>
          <w:sz w:val="32"/>
          <w:szCs w:val="32"/>
          <w:highlight w:val="none"/>
        </w:rPr>
        <w:t>第三章</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资格审查</w:t>
      </w:r>
      <w:r>
        <w:rPr>
          <w:sz w:val="32"/>
          <w:szCs w:val="32"/>
        </w:rPr>
        <w:tab/>
      </w:r>
      <w:r>
        <w:rPr>
          <w:sz w:val="32"/>
          <w:szCs w:val="32"/>
        </w:rPr>
        <w:fldChar w:fldCharType="begin"/>
      </w:r>
      <w:r>
        <w:rPr>
          <w:sz w:val="32"/>
          <w:szCs w:val="32"/>
        </w:rPr>
        <w:instrText xml:space="preserve"> PAGEREF _Toc30500 \h </w:instrText>
      </w:r>
      <w:r>
        <w:rPr>
          <w:sz w:val="32"/>
          <w:szCs w:val="32"/>
        </w:rPr>
        <w:fldChar w:fldCharType="separate"/>
      </w:r>
      <w:r>
        <w:rPr>
          <w:sz w:val="32"/>
          <w:szCs w:val="32"/>
        </w:rPr>
        <w:t>20</w:t>
      </w:r>
      <w:r>
        <w:rPr>
          <w:sz w:val="32"/>
          <w:szCs w:val="32"/>
        </w:rPr>
        <w:fldChar w:fldCharType="end"/>
      </w:r>
      <w:r>
        <w:rPr>
          <w:rFonts w:hint="eastAsia" w:ascii="宋体" w:hAnsi="宋体" w:eastAsia="宋体" w:cs="宋体"/>
          <w:bCs/>
          <w:color w:val="auto"/>
          <w:sz w:val="32"/>
          <w:szCs w:val="32"/>
          <w:highlight w:val="none"/>
        </w:rPr>
        <w:fldChar w:fldCharType="end"/>
      </w:r>
    </w:p>
    <w:p w14:paraId="26CB44A2">
      <w:pPr>
        <w:pStyle w:val="14"/>
        <w:tabs>
          <w:tab w:val="right" w:leader="dot" w:pos="9026"/>
          <w:tab w:val="clear" w:pos="1050"/>
          <w:tab w:val="clear" w:pos="8937"/>
        </w:tabs>
        <w:spacing w:line="600" w:lineRule="auto"/>
        <w:rPr>
          <w:sz w:val="32"/>
          <w:szCs w:val="32"/>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sz w:val="32"/>
          <w:szCs w:val="32"/>
          <w:highlight w:val="none"/>
        </w:rPr>
        <w:instrText xml:space="preserve"> HYPERLINK \l _Toc32369 </w:instrText>
      </w:r>
      <w:r>
        <w:rPr>
          <w:rFonts w:hint="eastAsia" w:ascii="宋体" w:hAnsi="宋体" w:eastAsia="宋体" w:cs="宋体"/>
          <w:bCs/>
          <w:sz w:val="32"/>
          <w:szCs w:val="32"/>
          <w:highlight w:val="none"/>
        </w:rPr>
        <w:fldChar w:fldCharType="separate"/>
      </w:r>
      <w:r>
        <w:rPr>
          <w:rFonts w:hint="eastAsia" w:ascii="宋体" w:hAnsi="宋体" w:eastAsia="宋体" w:cs="宋体"/>
          <w:sz w:val="32"/>
          <w:szCs w:val="32"/>
          <w:highlight w:val="none"/>
        </w:rPr>
        <w:t>第四章</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评标程序、评标方法和评标标准</w:t>
      </w:r>
      <w:r>
        <w:rPr>
          <w:sz w:val="32"/>
          <w:szCs w:val="32"/>
        </w:rPr>
        <w:tab/>
      </w:r>
      <w:r>
        <w:rPr>
          <w:sz w:val="32"/>
          <w:szCs w:val="32"/>
        </w:rPr>
        <w:fldChar w:fldCharType="begin"/>
      </w:r>
      <w:r>
        <w:rPr>
          <w:sz w:val="32"/>
          <w:szCs w:val="32"/>
        </w:rPr>
        <w:instrText xml:space="preserve"> PAGEREF _Toc32369 \h </w:instrText>
      </w:r>
      <w:r>
        <w:rPr>
          <w:sz w:val="32"/>
          <w:szCs w:val="32"/>
        </w:rPr>
        <w:fldChar w:fldCharType="separate"/>
      </w:r>
      <w:r>
        <w:rPr>
          <w:sz w:val="32"/>
          <w:szCs w:val="32"/>
        </w:rPr>
        <w:t>22</w:t>
      </w:r>
      <w:r>
        <w:rPr>
          <w:sz w:val="32"/>
          <w:szCs w:val="32"/>
        </w:rPr>
        <w:fldChar w:fldCharType="end"/>
      </w:r>
      <w:r>
        <w:rPr>
          <w:rFonts w:hint="eastAsia" w:ascii="宋体" w:hAnsi="宋体" w:eastAsia="宋体" w:cs="宋体"/>
          <w:bCs/>
          <w:color w:val="auto"/>
          <w:sz w:val="32"/>
          <w:szCs w:val="32"/>
          <w:highlight w:val="none"/>
        </w:rPr>
        <w:fldChar w:fldCharType="end"/>
      </w:r>
    </w:p>
    <w:p w14:paraId="6B5025DF">
      <w:pPr>
        <w:pStyle w:val="14"/>
        <w:tabs>
          <w:tab w:val="right" w:leader="dot" w:pos="9026"/>
          <w:tab w:val="clear" w:pos="1050"/>
          <w:tab w:val="clear" w:pos="8937"/>
        </w:tabs>
        <w:spacing w:line="600" w:lineRule="auto"/>
        <w:rPr>
          <w:sz w:val="32"/>
          <w:szCs w:val="32"/>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sz w:val="32"/>
          <w:szCs w:val="32"/>
          <w:highlight w:val="none"/>
        </w:rPr>
        <w:instrText xml:space="preserve"> HYPERLINK \l _Toc30576 </w:instrText>
      </w:r>
      <w:r>
        <w:rPr>
          <w:rFonts w:hint="eastAsia" w:ascii="宋体" w:hAnsi="宋体" w:eastAsia="宋体" w:cs="宋体"/>
          <w:bCs/>
          <w:sz w:val="32"/>
          <w:szCs w:val="32"/>
          <w:highlight w:val="none"/>
        </w:rPr>
        <w:fldChar w:fldCharType="separate"/>
      </w:r>
      <w:r>
        <w:rPr>
          <w:rFonts w:hint="eastAsia" w:ascii="宋体" w:hAnsi="宋体" w:eastAsia="宋体" w:cs="宋体"/>
          <w:sz w:val="32"/>
          <w:szCs w:val="32"/>
          <w:highlight w:val="none"/>
        </w:rPr>
        <w:t>第五章</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采购需求</w:t>
      </w:r>
      <w:r>
        <w:rPr>
          <w:sz w:val="32"/>
          <w:szCs w:val="32"/>
        </w:rPr>
        <w:tab/>
      </w:r>
      <w:r>
        <w:rPr>
          <w:sz w:val="32"/>
          <w:szCs w:val="32"/>
        </w:rPr>
        <w:fldChar w:fldCharType="begin"/>
      </w:r>
      <w:r>
        <w:rPr>
          <w:sz w:val="32"/>
          <w:szCs w:val="32"/>
        </w:rPr>
        <w:instrText xml:space="preserve"> PAGEREF _Toc30576 \h </w:instrText>
      </w:r>
      <w:r>
        <w:rPr>
          <w:sz w:val="32"/>
          <w:szCs w:val="32"/>
        </w:rPr>
        <w:fldChar w:fldCharType="separate"/>
      </w:r>
      <w:r>
        <w:rPr>
          <w:sz w:val="32"/>
          <w:szCs w:val="32"/>
        </w:rPr>
        <w:t>32</w:t>
      </w:r>
      <w:r>
        <w:rPr>
          <w:sz w:val="32"/>
          <w:szCs w:val="32"/>
        </w:rPr>
        <w:fldChar w:fldCharType="end"/>
      </w:r>
      <w:r>
        <w:rPr>
          <w:rFonts w:hint="eastAsia" w:ascii="宋体" w:hAnsi="宋体" w:eastAsia="宋体" w:cs="宋体"/>
          <w:bCs/>
          <w:color w:val="auto"/>
          <w:sz w:val="32"/>
          <w:szCs w:val="32"/>
          <w:highlight w:val="none"/>
        </w:rPr>
        <w:fldChar w:fldCharType="end"/>
      </w:r>
    </w:p>
    <w:p w14:paraId="714ADA43">
      <w:pPr>
        <w:pStyle w:val="14"/>
        <w:tabs>
          <w:tab w:val="right" w:leader="dot" w:pos="9026"/>
          <w:tab w:val="clear" w:pos="1050"/>
          <w:tab w:val="clear" w:pos="8937"/>
        </w:tabs>
        <w:spacing w:line="600" w:lineRule="auto"/>
        <w:rPr>
          <w:sz w:val="32"/>
          <w:szCs w:val="32"/>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sz w:val="32"/>
          <w:szCs w:val="32"/>
          <w:highlight w:val="none"/>
        </w:rPr>
        <w:instrText xml:space="preserve"> HYPERLINK \l _Toc3248 </w:instrText>
      </w:r>
      <w:r>
        <w:rPr>
          <w:rFonts w:hint="eastAsia" w:ascii="宋体" w:hAnsi="宋体" w:eastAsia="宋体" w:cs="宋体"/>
          <w:bCs/>
          <w:sz w:val="32"/>
          <w:szCs w:val="32"/>
          <w:highlight w:val="none"/>
        </w:rPr>
        <w:fldChar w:fldCharType="separate"/>
      </w:r>
      <w:r>
        <w:rPr>
          <w:rFonts w:hint="eastAsia" w:ascii="宋体" w:hAnsi="宋体" w:eastAsia="宋体" w:cs="宋体"/>
          <w:sz w:val="32"/>
          <w:szCs w:val="32"/>
          <w:highlight w:val="none"/>
          <w:lang w:val="en-US" w:eastAsia="zh-CN"/>
        </w:rPr>
        <w:t xml:space="preserve">第六章  </w:t>
      </w:r>
      <w:r>
        <w:rPr>
          <w:rFonts w:hint="eastAsia" w:ascii="宋体" w:hAnsi="宋体" w:eastAsia="宋体" w:cs="宋体"/>
          <w:sz w:val="32"/>
          <w:szCs w:val="32"/>
          <w:highlight w:val="none"/>
        </w:rPr>
        <w:t>拟签订的合同文本</w:t>
      </w:r>
      <w:r>
        <w:rPr>
          <w:sz w:val="32"/>
          <w:szCs w:val="32"/>
        </w:rPr>
        <w:tab/>
      </w:r>
      <w:r>
        <w:rPr>
          <w:sz w:val="32"/>
          <w:szCs w:val="32"/>
        </w:rPr>
        <w:fldChar w:fldCharType="begin"/>
      </w:r>
      <w:r>
        <w:rPr>
          <w:sz w:val="32"/>
          <w:szCs w:val="32"/>
        </w:rPr>
        <w:instrText xml:space="preserve"> PAGEREF _Toc3248 \h </w:instrText>
      </w:r>
      <w:r>
        <w:rPr>
          <w:sz w:val="32"/>
          <w:szCs w:val="32"/>
        </w:rPr>
        <w:fldChar w:fldCharType="separate"/>
      </w:r>
      <w:r>
        <w:rPr>
          <w:sz w:val="32"/>
          <w:szCs w:val="32"/>
        </w:rPr>
        <w:t>41</w:t>
      </w:r>
      <w:r>
        <w:rPr>
          <w:sz w:val="32"/>
          <w:szCs w:val="32"/>
        </w:rPr>
        <w:fldChar w:fldCharType="end"/>
      </w:r>
      <w:r>
        <w:rPr>
          <w:rFonts w:hint="eastAsia" w:ascii="宋体" w:hAnsi="宋体" w:eastAsia="宋体" w:cs="宋体"/>
          <w:bCs/>
          <w:color w:val="auto"/>
          <w:sz w:val="32"/>
          <w:szCs w:val="32"/>
          <w:highlight w:val="none"/>
        </w:rPr>
        <w:fldChar w:fldCharType="end"/>
      </w:r>
    </w:p>
    <w:p w14:paraId="45B704FC">
      <w:pPr>
        <w:pStyle w:val="14"/>
        <w:tabs>
          <w:tab w:val="right" w:leader="dot" w:pos="9026"/>
          <w:tab w:val="clear" w:pos="1050"/>
          <w:tab w:val="clear" w:pos="8937"/>
        </w:tabs>
        <w:spacing w:line="600" w:lineRule="auto"/>
        <w:rPr>
          <w:sz w:val="32"/>
          <w:szCs w:val="32"/>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sz w:val="32"/>
          <w:szCs w:val="32"/>
          <w:highlight w:val="none"/>
        </w:rPr>
        <w:instrText xml:space="preserve"> HYPERLINK \l _Toc1387 </w:instrText>
      </w:r>
      <w:r>
        <w:rPr>
          <w:rFonts w:hint="eastAsia" w:ascii="宋体" w:hAnsi="宋体" w:eastAsia="宋体" w:cs="宋体"/>
          <w:bCs/>
          <w:sz w:val="32"/>
          <w:szCs w:val="32"/>
          <w:highlight w:val="none"/>
        </w:rPr>
        <w:fldChar w:fldCharType="separate"/>
      </w:r>
      <w:r>
        <w:rPr>
          <w:rFonts w:hint="eastAsia" w:ascii="宋体" w:hAnsi="宋体" w:eastAsia="宋体" w:cs="宋体"/>
          <w:sz w:val="32"/>
          <w:szCs w:val="32"/>
          <w:highlight w:val="none"/>
        </w:rPr>
        <w:t>第七章</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投标文件格式</w:t>
      </w:r>
      <w:r>
        <w:rPr>
          <w:sz w:val="32"/>
          <w:szCs w:val="32"/>
        </w:rPr>
        <w:tab/>
      </w:r>
      <w:r>
        <w:rPr>
          <w:sz w:val="32"/>
          <w:szCs w:val="32"/>
        </w:rPr>
        <w:fldChar w:fldCharType="begin"/>
      </w:r>
      <w:r>
        <w:rPr>
          <w:sz w:val="32"/>
          <w:szCs w:val="32"/>
        </w:rPr>
        <w:instrText xml:space="preserve"> PAGEREF _Toc1387 \h </w:instrText>
      </w:r>
      <w:r>
        <w:rPr>
          <w:sz w:val="32"/>
          <w:szCs w:val="32"/>
        </w:rPr>
        <w:fldChar w:fldCharType="separate"/>
      </w:r>
      <w:r>
        <w:rPr>
          <w:sz w:val="32"/>
          <w:szCs w:val="32"/>
        </w:rPr>
        <w:t>60</w:t>
      </w:r>
      <w:r>
        <w:rPr>
          <w:sz w:val="32"/>
          <w:szCs w:val="32"/>
        </w:rPr>
        <w:fldChar w:fldCharType="end"/>
      </w:r>
      <w:r>
        <w:rPr>
          <w:rFonts w:hint="eastAsia" w:ascii="宋体" w:hAnsi="宋体" w:eastAsia="宋体" w:cs="宋体"/>
          <w:bCs/>
          <w:color w:val="auto"/>
          <w:sz w:val="32"/>
          <w:szCs w:val="32"/>
          <w:highlight w:val="none"/>
        </w:rPr>
        <w:fldChar w:fldCharType="end"/>
      </w:r>
    </w:p>
    <w:p w14:paraId="2D796E65">
      <w:pPr>
        <w:pStyle w:val="14"/>
        <w:keepNext w:val="0"/>
        <w:keepLines w:val="0"/>
        <w:pageBreakBefore w:val="0"/>
        <w:widowControl w:val="0"/>
        <w:shd w:val="clear"/>
        <w:kinsoku/>
        <w:wordWrap/>
        <w:overflowPunct/>
        <w:topLinePunct/>
        <w:autoSpaceDE/>
        <w:autoSpaceDN/>
        <w:bidi w:val="0"/>
        <w:adjustRightInd w:val="0"/>
        <w:snapToGrid w:val="0"/>
        <w:spacing w:line="600" w:lineRule="auto"/>
        <w:textAlignment w:val="auto"/>
        <w:outlineLvl w:val="9"/>
        <w:rPr>
          <w:rFonts w:hint="eastAsia" w:ascii="宋体" w:hAnsi="宋体" w:eastAsia="宋体" w:cs="宋体"/>
          <w:bCs/>
          <w:color w:val="auto"/>
          <w:sz w:val="28"/>
          <w:szCs w:val="28"/>
          <w:highlight w:val="none"/>
        </w:rPr>
      </w:pPr>
      <w:r>
        <w:rPr>
          <w:rFonts w:hint="eastAsia" w:ascii="宋体" w:hAnsi="宋体" w:eastAsia="宋体" w:cs="宋体"/>
          <w:bCs/>
          <w:color w:val="auto"/>
          <w:sz w:val="32"/>
          <w:szCs w:val="32"/>
          <w:highlight w:val="none"/>
        </w:rPr>
        <w:fldChar w:fldCharType="end"/>
      </w:r>
    </w:p>
    <w:p w14:paraId="6CF283E8">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p>
    <w:p w14:paraId="0B450C31">
      <w:pPr>
        <w:pStyle w:val="11"/>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0"/>
        <w:rPr>
          <w:rFonts w:hint="eastAsia" w:ascii="宋体" w:hAnsi="宋体" w:eastAsia="宋体" w:cs="宋体"/>
          <w:b/>
          <w:color w:val="auto"/>
          <w:sz w:val="32"/>
          <w:szCs w:val="32"/>
          <w:highlight w:val="none"/>
        </w:rPr>
      </w:pPr>
      <w:bookmarkStart w:id="1" w:name="_Toc31663"/>
      <w:r>
        <w:rPr>
          <w:rFonts w:hint="eastAsia" w:ascii="宋体" w:hAnsi="宋体" w:eastAsia="宋体" w:cs="宋体"/>
          <w:b/>
          <w:color w:val="auto"/>
          <w:sz w:val="32"/>
          <w:szCs w:val="32"/>
          <w:highlight w:val="none"/>
        </w:rPr>
        <w:t>第一章</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投标邀请</w:t>
      </w:r>
      <w:bookmarkEnd w:id="1"/>
    </w:p>
    <w:p w14:paraId="545BDF4B">
      <w:pPr>
        <w:keepNext w:val="0"/>
        <w:keepLines w:val="0"/>
        <w:pageBreakBefore w:val="0"/>
        <w:widowControl w:val="0"/>
        <w:shd w:val="clear"/>
        <w:kinsoku/>
        <w:wordWrap/>
        <w:overflowPunct/>
        <w:topLinePunct/>
        <w:autoSpaceDE/>
        <w:autoSpaceDN/>
        <w:bidi w:val="0"/>
        <w:adjustRightInd w:val="0"/>
        <w:snapToGrid w:val="0"/>
        <w:spacing w:before="0" w:line="360" w:lineRule="auto"/>
        <w:jc w:val="lef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5DAC611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1.项目编号：</w:t>
      </w:r>
      <w:r>
        <w:rPr>
          <w:rFonts w:hint="eastAsia" w:ascii="宋体" w:hAnsi="宋体" w:cs="宋体"/>
          <w:color w:val="auto"/>
          <w:sz w:val="21"/>
          <w:szCs w:val="21"/>
          <w:highlight w:val="none"/>
          <w:u w:val="none"/>
          <w:lang w:eastAsia="zh-CN"/>
        </w:rPr>
        <w:t>JSZC-320404-QFZB-G2026-0012</w:t>
      </w:r>
    </w:p>
    <w:p w14:paraId="4D2390D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lang w:val="en-US"/>
        </w:rPr>
      </w:pPr>
      <w:r>
        <w:rPr>
          <w:rFonts w:hint="eastAsia" w:ascii="宋体" w:hAnsi="宋体" w:eastAsia="宋体" w:cs="宋体"/>
          <w:color w:val="auto"/>
          <w:sz w:val="21"/>
          <w:szCs w:val="21"/>
          <w:highlight w:val="none"/>
          <w:u w:val="none"/>
        </w:rPr>
        <w:t>2.项目名称：</w:t>
      </w:r>
      <w:r>
        <w:rPr>
          <w:rFonts w:hint="eastAsia" w:ascii="宋体" w:hAnsi="宋体" w:cs="宋体"/>
          <w:color w:val="auto"/>
          <w:sz w:val="21"/>
          <w:szCs w:val="21"/>
          <w:highlight w:val="none"/>
          <w:u w:val="none"/>
          <w:lang w:eastAsia="zh-CN"/>
        </w:rPr>
        <w:t>常州市钟楼区行政中心机关食堂餐饮服务及管理项目</w:t>
      </w:r>
    </w:p>
    <w:p w14:paraId="4B7B04F1">
      <w:pPr>
        <w:keepNext w:val="0"/>
        <w:keepLines w:val="0"/>
        <w:pageBreakBefore w:val="0"/>
        <w:widowControl w:val="0"/>
        <w:kinsoku/>
        <w:wordWrap/>
        <w:overflowPunct/>
        <w:topLinePunct/>
        <w:autoSpaceDE/>
        <w:autoSpaceDN/>
        <w:bidi w:val="0"/>
        <w:adjustRightInd w:val="0"/>
        <w:snapToGrid w:val="0"/>
        <w:spacing w:line="360" w:lineRule="auto"/>
        <w:ind w:firstLine="420" w:firstLineChars="200"/>
        <w:textAlignment w:val="auto"/>
        <w:rPr>
          <w:rFonts w:hint="default" w:ascii="宋体" w:hAnsi="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rPr>
        <w:t>3.项目预算金额：</w:t>
      </w:r>
      <w:r>
        <w:rPr>
          <w:rFonts w:hint="eastAsia" w:ascii="宋体" w:hAnsi="宋体" w:cs="宋体"/>
          <w:color w:val="auto"/>
          <w:sz w:val="21"/>
          <w:szCs w:val="21"/>
          <w:highlight w:val="none"/>
          <w:u w:val="none"/>
          <w:lang w:val="en-US" w:eastAsia="zh-CN"/>
        </w:rPr>
        <w:t>8,362,800.00元/三年，2,787,600.00元/年</w:t>
      </w:r>
    </w:p>
    <w:p w14:paraId="3EB7305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w:t>
      </w:r>
      <w:r>
        <w:rPr>
          <w:rFonts w:hint="eastAsia" w:ascii="宋体" w:hAnsi="宋体" w:eastAsia="宋体" w:cs="宋体"/>
          <w:b w:val="0"/>
          <w:bCs w:val="0"/>
          <w:color w:val="auto"/>
          <w:sz w:val="21"/>
          <w:szCs w:val="21"/>
          <w:highlight w:val="none"/>
          <w:u w:val="none"/>
        </w:rPr>
        <w:t>项目最高限价：</w:t>
      </w:r>
      <w:r>
        <w:rPr>
          <w:rFonts w:hint="eastAsia" w:ascii="宋体" w:hAnsi="宋体" w:cs="宋体"/>
          <w:color w:val="auto"/>
          <w:sz w:val="21"/>
          <w:szCs w:val="21"/>
          <w:highlight w:val="none"/>
          <w:u w:val="none"/>
          <w:lang w:val="en-US" w:eastAsia="zh-CN"/>
        </w:rPr>
        <w:t>8,362,800.00元/三年，2,787,600.00元/年</w:t>
      </w:r>
    </w:p>
    <w:p w14:paraId="2C1A4EA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.采购需求：</w:t>
      </w:r>
      <w:r>
        <w:rPr>
          <w:rFonts w:hint="eastAsia" w:ascii="宋体" w:hAnsi="宋体" w:cs="宋体"/>
          <w:color w:val="auto"/>
          <w:sz w:val="21"/>
          <w:szCs w:val="21"/>
          <w:highlight w:val="none"/>
          <w:lang w:eastAsia="zh-CN"/>
        </w:rPr>
        <w:t>本项目为常州市钟楼区行政中心机关食堂餐饮服务及管理项目</w:t>
      </w:r>
      <w:r>
        <w:rPr>
          <w:rFonts w:hint="eastAsia" w:ascii="宋体" w:hAnsi="宋体" w:eastAsia="宋体" w:cs="宋体"/>
          <w:color w:val="auto"/>
          <w:sz w:val="21"/>
          <w:szCs w:val="21"/>
          <w:highlight w:val="none"/>
        </w:rPr>
        <w:t>，</w:t>
      </w:r>
      <w:r>
        <w:rPr>
          <w:rFonts w:hint="eastAsia" w:ascii="宋体" w:hAnsi="宋体" w:cs="宋体"/>
          <w:color w:val="auto"/>
          <w:szCs w:val="21"/>
          <w:highlight w:val="none"/>
        </w:rPr>
        <w:t>主要包括食堂服务及管理</w:t>
      </w:r>
      <w:r>
        <w:rPr>
          <w:rFonts w:hint="eastAsia" w:ascii="宋体" w:hAnsi="宋体" w:cs="宋体"/>
          <w:color w:val="auto"/>
          <w:szCs w:val="21"/>
          <w:highlight w:val="none"/>
          <w:lang w:eastAsia="zh-CN"/>
        </w:rPr>
        <w:t>；</w:t>
      </w:r>
      <w:r>
        <w:rPr>
          <w:rFonts w:hint="eastAsia" w:ascii="宋体" w:hAnsi="宋体" w:cs="宋体"/>
          <w:color w:val="auto"/>
          <w:szCs w:val="21"/>
          <w:highlight w:val="none"/>
        </w:rPr>
        <w:t>一日三餐的加工制作</w:t>
      </w:r>
      <w:r>
        <w:rPr>
          <w:rFonts w:hint="eastAsia" w:ascii="宋体" w:hAnsi="宋体" w:cs="宋体"/>
          <w:color w:val="auto"/>
          <w:szCs w:val="21"/>
          <w:highlight w:val="none"/>
          <w:lang w:eastAsia="zh-CN"/>
        </w:rPr>
        <w:t>；</w:t>
      </w:r>
      <w:r>
        <w:rPr>
          <w:rFonts w:hint="eastAsia" w:ascii="宋体" w:hAnsi="宋体" w:cs="宋体"/>
          <w:color w:val="auto"/>
          <w:szCs w:val="21"/>
          <w:highlight w:val="none"/>
        </w:rPr>
        <w:t>餐后餐具回收清洗</w:t>
      </w:r>
      <w:r>
        <w:rPr>
          <w:rFonts w:hint="eastAsia" w:ascii="宋体" w:hAnsi="宋体" w:cs="宋体"/>
          <w:color w:val="auto"/>
          <w:szCs w:val="21"/>
          <w:highlight w:val="none"/>
          <w:lang w:eastAsia="zh-CN"/>
        </w:rPr>
        <w:t>；</w:t>
      </w:r>
      <w:r>
        <w:rPr>
          <w:rFonts w:hint="eastAsia" w:ascii="宋体" w:hAnsi="宋体" w:cs="宋体"/>
          <w:color w:val="auto"/>
          <w:szCs w:val="21"/>
          <w:highlight w:val="none"/>
        </w:rPr>
        <w:t>食堂环境卫生保洁</w:t>
      </w:r>
      <w:r>
        <w:rPr>
          <w:rFonts w:hint="eastAsia" w:ascii="宋体" w:hAnsi="宋体" w:cs="宋体"/>
          <w:color w:val="auto"/>
          <w:szCs w:val="21"/>
          <w:highlight w:val="none"/>
          <w:lang w:eastAsia="zh-CN"/>
        </w:rPr>
        <w:t>；</w:t>
      </w:r>
      <w:r>
        <w:rPr>
          <w:rFonts w:hint="eastAsia" w:ascii="宋体" w:hAnsi="宋体" w:cs="宋体"/>
          <w:color w:val="auto"/>
          <w:szCs w:val="21"/>
          <w:highlight w:val="none"/>
        </w:rPr>
        <w:t>食品安全卫生和</w:t>
      </w:r>
      <w:r>
        <w:rPr>
          <w:rFonts w:hint="eastAsia" w:ascii="宋体" w:hAnsi="宋体" w:cs="宋体"/>
          <w:color w:val="auto"/>
          <w:szCs w:val="21"/>
          <w:highlight w:val="none"/>
          <w:lang w:val="en-US" w:eastAsia="zh-CN"/>
        </w:rPr>
        <w:t>质量</w:t>
      </w:r>
      <w:r>
        <w:rPr>
          <w:rFonts w:hint="eastAsia" w:ascii="宋体" w:hAnsi="宋体" w:cs="宋体"/>
          <w:color w:val="auto"/>
          <w:szCs w:val="21"/>
          <w:highlight w:val="none"/>
        </w:rPr>
        <w:t>控制等服务管理工作</w:t>
      </w:r>
      <w:r>
        <w:rPr>
          <w:rFonts w:hint="eastAsia" w:ascii="宋体" w:hAnsi="宋体" w:cs="宋体"/>
          <w:color w:val="auto"/>
          <w:szCs w:val="21"/>
          <w:highlight w:val="none"/>
          <w:lang w:eastAsia="zh-CN"/>
        </w:rPr>
        <w:t>；</w:t>
      </w:r>
      <w:r>
        <w:rPr>
          <w:rFonts w:hint="eastAsia" w:ascii="宋体" w:hAnsi="宋体" w:cs="宋体"/>
          <w:color w:val="auto"/>
          <w:szCs w:val="21"/>
          <w:highlight w:val="none"/>
        </w:rPr>
        <w:t>配合采购人做好食堂原辅料采购验收及食堂日常运行管理工作等</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以及完成本项目相关的其他工作。</w:t>
      </w:r>
    </w:p>
    <w:p w14:paraId="478997A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.合同履行期限：</w:t>
      </w:r>
      <w:r>
        <w:rPr>
          <w:rFonts w:hint="eastAsia" w:ascii="宋体" w:hAnsi="宋体" w:cs="宋体"/>
          <w:color w:val="auto"/>
          <w:szCs w:val="21"/>
          <w:highlight w:val="none"/>
        </w:rPr>
        <w:t>三年，合同一年一签，每年合同期满经采购人考核合格后续签下一年度合同。</w:t>
      </w:r>
    </w:p>
    <w:p w14:paraId="25D9F0E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.本项目是否接受联合体投标：</w:t>
      </w:r>
      <w:r>
        <w:rPr>
          <w:rFonts w:hint="eastAsia" w:ascii="宋体" w:hAnsi="宋体" w:cs="宋体"/>
          <w:color w:val="auto"/>
          <w:sz w:val="21"/>
          <w:szCs w:val="21"/>
          <w:highlight w:val="none"/>
          <w:lang w:val="en-US" w:eastAsia="zh-CN"/>
        </w:rPr>
        <w:t>不接受</w:t>
      </w:r>
      <w:r>
        <w:rPr>
          <w:rFonts w:hint="eastAsia" w:ascii="宋体" w:hAnsi="宋体" w:eastAsia="宋体" w:cs="宋体"/>
          <w:color w:val="auto"/>
          <w:sz w:val="21"/>
          <w:szCs w:val="21"/>
          <w:highlight w:val="none"/>
        </w:rPr>
        <w:t>。</w:t>
      </w:r>
    </w:p>
    <w:p w14:paraId="0653EF5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.本项目是否接受进口产品投标：</w:t>
      </w:r>
      <w:r>
        <w:rPr>
          <w:rFonts w:hint="eastAsia" w:ascii="宋体" w:hAnsi="宋体" w:cs="宋体"/>
          <w:color w:val="auto"/>
          <w:sz w:val="21"/>
          <w:szCs w:val="21"/>
          <w:highlight w:val="none"/>
          <w:lang w:val="en-US" w:eastAsia="zh-CN"/>
        </w:rPr>
        <w:t>不接受</w:t>
      </w:r>
      <w:r>
        <w:rPr>
          <w:rFonts w:hint="eastAsia" w:ascii="宋体" w:hAnsi="宋体" w:eastAsia="宋体" w:cs="宋体"/>
          <w:color w:val="auto"/>
          <w:sz w:val="21"/>
          <w:szCs w:val="21"/>
          <w:highlight w:val="none"/>
        </w:rPr>
        <w:t>。</w:t>
      </w:r>
    </w:p>
    <w:p w14:paraId="21FC59AE">
      <w:pPr>
        <w:keepNext w:val="0"/>
        <w:keepLines w:val="0"/>
        <w:pageBreakBefore w:val="0"/>
        <w:widowControl w:val="0"/>
        <w:shd w:val="clear"/>
        <w:kinsoku/>
        <w:wordWrap/>
        <w:overflowPunct/>
        <w:topLinePunct/>
        <w:autoSpaceDE/>
        <w:autoSpaceDN/>
        <w:bidi w:val="0"/>
        <w:adjustRightInd w:val="0"/>
        <w:snapToGrid w:val="0"/>
        <w:spacing w:before="0" w:line="360" w:lineRule="auto"/>
        <w:jc w:val="lef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二、申请人的资格要求（须同时满足）</w:t>
      </w:r>
    </w:p>
    <w:p w14:paraId="10A28A1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1.满足《中华人民共和国政府采购法》第二十二条规定以及下列情形：</w:t>
      </w:r>
    </w:p>
    <w:p w14:paraId="60FFEF5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1.1未被“信用中国”网站（</w:t>
      </w:r>
      <w:r>
        <w:rPr>
          <w:rFonts w:hint="eastAsia" w:ascii="宋体" w:hAnsi="宋体" w:eastAsia="宋体" w:cs="宋体"/>
          <w:color w:val="auto"/>
          <w:sz w:val="21"/>
          <w:szCs w:val="21"/>
          <w:highlight w:val="none"/>
          <w:lang w:val="en-US" w:eastAsia="zh-CN"/>
        </w:rPr>
        <w:t>www</w:t>
      </w:r>
      <w:r>
        <w:rPr>
          <w:rFonts w:hint="eastAsia" w:ascii="宋体" w:hAnsi="宋体" w:eastAsia="宋体" w:cs="宋体"/>
          <w:color w:val="auto"/>
          <w:sz w:val="21"/>
          <w:szCs w:val="21"/>
          <w:highlight w:val="none"/>
        </w:rPr>
        <w:t>.creditchina.gov.cn）或“中国政府采购网”网站（www.ccgp.gov.cn）列入失信被执行人、重大税收违法失信主体、政府采购严重违法失信行为记录名单；</w:t>
      </w:r>
    </w:p>
    <w:p w14:paraId="3CFA891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1.2单位负责人为同一人或者存在直接控股、管理关系的不同供应商（包含法定代表人为同一个人的两个及两个以上法人，母公司、全资子公司及其控股公司），不得参加同一合同项下的政府采购活动。</w:t>
      </w:r>
    </w:p>
    <w:p w14:paraId="423BC4A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p>
    <w:p w14:paraId="102B3F3A">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 中小企业政策（说明：中小企业包含中型、小型、微型企业，小微企业包含小型、微型企业）</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本项目专门面向中小企业预留采购份额。</w:t>
      </w:r>
    </w:p>
    <w:p w14:paraId="4A58CFA6">
      <w:pPr>
        <w:keepNext w:val="0"/>
        <w:keepLines w:val="0"/>
        <w:pageBreakBefore w:val="0"/>
        <w:widowControl w:val="0"/>
        <w:shd w:val="clear"/>
        <w:tabs>
          <w:tab w:val="left" w:pos="900"/>
          <w:tab w:val="left" w:pos="1134"/>
          <w:tab w:val="left" w:pos="1589"/>
          <w:tab w:val="left" w:pos="5521"/>
        </w:tabs>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2.2 </w:t>
      </w: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落实政府采购政策的资格要求（如有）：无。</w:t>
      </w:r>
    </w:p>
    <w:p w14:paraId="47B0FD82">
      <w:pPr>
        <w:keepNext w:val="0"/>
        <w:keepLines w:val="0"/>
        <w:pageBreakBefore w:val="0"/>
        <w:widowControl w:val="0"/>
        <w:shd w:val="clear"/>
        <w:tabs>
          <w:tab w:val="left" w:pos="900"/>
          <w:tab w:val="left" w:pos="1134"/>
          <w:tab w:val="left" w:pos="1589"/>
          <w:tab w:val="left" w:pos="5521"/>
        </w:tabs>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p>
    <w:p w14:paraId="79A4ACED">
      <w:pPr>
        <w:keepNext w:val="0"/>
        <w:keepLines w:val="0"/>
        <w:pageBreakBefore w:val="0"/>
        <w:widowControl w:val="0"/>
        <w:shd w:val="clear"/>
        <w:tabs>
          <w:tab w:val="left" w:pos="900"/>
          <w:tab w:val="left" w:pos="1134"/>
          <w:tab w:val="left" w:pos="1589"/>
          <w:tab w:val="left" w:pos="5521"/>
        </w:tabs>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3.1本项目是否接受分支机构参与投标：否；</w:t>
      </w:r>
    </w:p>
    <w:p w14:paraId="6904531C">
      <w:pPr>
        <w:keepNext w:val="0"/>
        <w:keepLines w:val="0"/>
        <w:pageBreakBefore w:val="0"/>
        <w:widowControl w:val="0"/>
        <w:shd w:val="clear"/>
        <w:tabs>
          <w:tab w:val="left" w:pos="900"/>
          <w:tab w:val="left" w:pos="1134"/>
          <w:tab w:val="left" w:pos="1589"/>
          <w:tab w:val="left" w:pos="5521"/>
        </w:tabs>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3.2本项目是否属于政府购买服务：是。公益一类事业单位、使用事业编制且由财政拨款保障的群团组织，不得作为承接主体；</w:t>
      </w:r>
    </w:p>
    <w:p w14:paraId="161A5C5D">
      <w:pPr>
        <w:keepNext w:val="0"/>
        <w:keepLines w:val="0"/>
        <w:pageBreakBefore w:val="0"/>
        <w:widowControl w:val="0"/>
        <w:shd w:val="clear"/>
        <w:tabs>
          <w:tab w:val="left" w:pos="900"/>
          <w:tab w:val="left" w:pos="1134"/>
          <w:tab w:val="left" w:pos="1589"/>
          <w:tab w:val="left" w:pos="5521"/>
        </w:tabs>
        <w:kinsoku/>
        <w:wordWrap/>
        <w:overflowPunct/>
        <w:topLinePunct/>
        <w:autoSpaceDE/>
        <w:autoSpaceDN/>
        <w:bidi w:val="0"/>
        <w:adjustRightInd w:val="0"/>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3.3其他特定资格要求：</w:t>
      </w:r>
      <w:r>
        <w:rPr>
          <w:rFonts w:hint="eastAsia" w:ascii="宋体" w:hAnsi="宋体" w:cs="宋体"/>
          <w:szCs w:val="21"/>
        </w:rPr>
        <w:t>具有有效的《食品经营许</w:t>
      </w:r>
      <w:r>
        <w:rPr>
          <w:rFonts w:hint="eastAsia" w:ascii="宋体" w:hAnsi="宋体" w:cs="宋体"/>
          <w:szCs w:val="21"/>
          <w:highlight w:val="none"/>
        </w:rPr>
        <w:t>可证》</w:t>
      </w:r>
      <w:r>
        <w:rPr>
          <w:rFonts w:hint="eastAsia" w:ascii="宋体" w:hAnsi="宋体" w:cs="宋体"/>
          <w:color w:val="auto"/>
          <w:sz w:val="21"/>
          <w:szCs w:val="21"/>
          <w:highlight w:val="none"/>
          <w:lang w:val="en-US" w:eastAsia="zh-CN"/>
        </w:rPr>
        <w:t>。</w:t>
      </w:r>
    </w:p>
    <w:p w14:paraId="3FFB1D83">
      <w:pPr>
        <w:keepNext w:val="0"/>
        <w:keepLines w:val="0"/>
        <w:pageBreakBefore w:val="0"/>
        <w:widowControl w:val="0"/>
        <w:shd w:val="clear"/>
        <w:kinsoku/>
        <w:wordWrap/>
        <w:overflowPunct/>
        <w:topLinePunct/>
        <w:autoSpaceDE/>
        <w:autoSpaceDN/>
        <w:bidi w:val="0"/>
        <w:adjustRightInd w:val="0"/>
        <w:snapToGrid w:val="0"/>
        <w:spacing w:before="0" w:line="360" w:lineRule="auto"/>
        <w:jc w:val="lef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三、获取招标文件</w:t>
      </w:r>
    </w:p>
    <w:p w14:paraId="726EB25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1.时间</w:t>
      </w:r>
      <w:r>
        <w:rPr>
          <w:rFonts w:hint="eastAsia" w:ascii="宋体" w:hAnsi="宋体" w:eastAsia="宋体" w:cs="宋体"/>
          <w:color w:val="auto"/>
          <w:sz w:val="21"/>
          <w:szCs w:val="21"/>
          <w:highlight w:val="none"/>
          <w:shd w:val="clear"/>
          <w:lang w:bidi="ar"/>
        </w:rPr>
        <w:t>：</w:t>
      </w:r>
      <w:r>
        <w:rPr>
          <w:rFonts w:hint="eastAsia" w:ascii="宋体" w:hAnsi="宋体" w:eastAsia="宋体" w:cs="宋体"/>
          <w:b w:val="0"/>
          <w:bCs w:val="0"/>
          <w:color w:val="auto"/>
          <w:kern w:val="0"/>
          <w:sz w:val="21"/>
          <w:szCs w:val="21"/>
          <w:highlight w:val="none"/>
          <w:u w:val="none"/>
          <w:shd w:val="clear"/>
          <w:lang w:val="en-US" w:eastAsia="zh-CN"/>
        </w:rPr>
        <w:t>自招标文件公告发布之日起5个工作日</w:t>
      </w:r>
      <w:r>
        <w:rPr>
          <w:rFonts w:hint="eastAsia" w:ascii="宋体" w:hAnsi="宋体" w:eastAsia="宋体" w:cs="宋体"/>
          <w:b w:val="0"/>
          <w:bCs w:val="0"/>
          <w:color w:val="auto"/>
          <w:sz w:val="21"/>
          <w:szCs w:val="21"/>
          <w:highlight w:val="none"/>
          <w:lang w:bidi="ar"/>
        </w:rPr>
        <w:t>。</w:t>
      </w:r>
    </w:p>
    <w:p w14:paraId="31631A7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2.地点：</w:t>
      </w:r>
      <w:r>
        <w:rPr>
          <w:rFonts w:hint="eastAsia" w:ascii="宋体" w:hAnsi="宋体" w:cs="宋体"/>
          <w:color w:val="auto"/>
          <w:sz w:val="21"/>
          <w:szCs w:val="21"/>
          <w:highlight w:val="none"/>
          <w:lang w:eastAsia="zh-CN" w:bidi="ar"/>
        </w:rPr>
        <w:t>政府采购一体化平台“苏采云”</w:t>
      </w:r>
    </w:p>
    <w:p w14:paraId="1DB24C1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3.方式：</w:t>
      </w:r>
      <w:r>
        <w:rPr>
          <w:rFonts w:hint="eastAsia" w:ascii="宋体" w:hAnsi="宋体" w:cs="宋体"/>
          <w:color w:val="auto"/>
          <w:sz w:val="21"/>
          <w:szCs w:val="21"/>
          <w:highlight w:val="none"/>
          <w:lang w:val="en-US" w:eastAsia="zh-CN" w:bidi="ar"/>
        </w:rPr>
        <w:t>投标人</w:t>
      </w:r>
      <w:r>
        <w:rPr>
          <w:rFonts w:hint="eastAsia" w:ascii="宋体" w:hAnsi="宋体" w:eastAsia="宋体" w:cs="宋体"/>
          <w:color w:val="auto"/>
          <w:sz w:val="21"/>
          <w:szCs w:val="21"/>
          <w:highlight w:val="none"/>
          <w:lang w:bidi="ar"/>
        </w:rPr>
        <w:t>持CA数字认证证书登录</w:t>
      </w:r>
      <w:r>
        <w:rPr>
          <w:rFonts w:hint="eastAsia" w:ascii="宋体" w:hAnsi="宋体" w:cs="宋体"/>
          <w:color w:val="auto"/>
          <w:sz w:val="21"/>
          <w:szCs w:val="21"/>
          <w:highlight w:val="none"/>
          <w:lang w:eastAsia="zh-CN" w:bidi="ar"/>
        </w:rPr>
        <w:t>政府采购一体化平台“苏采云”</w:t>
      </w:r>
      <w:r>
        <w:rPr>
          <w:rFonts w:hint="eastAsia" w:ascii="宋体" w:hAnsi="宋体" w:cs="宋体"/>
          <w:color w:val="auto"/>
          <w:sz w:val="21"/>
          <w:szCs w:val="21"/>
          <w:highlight w:val="none"/>
          <w:lang w:val="en-US" w:eastAsia="zh-CN" w:bidi="ar"/>
        </w:rPr>
        <w:t>自行下载</w:t>
      </w:r>
      <w:r>
        <w:rPr>
          <w:rFonts w:hint="eastAsia" w:ascii="宋体" w:hAnsi="宋体" w:eastAsia="宋体" w:cs="宋体"/>
          <w:color w:val="auto"/>
          <w:sz w:val="21"/>
          <w:szCs w:val="21"/>
          <w:highlight w:val="none"/>
          <w:lang w:bidi="ar"/>
        </w:rPr>
        <w:t>获取。</w:t>
      </w:r>
    </w:p>
    <w:p w14:paraId="56BB41F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4.售价：</w:t>
      </w:r>
      <w:r>
        <w:rPr>
          <w:rFonts w:hint="eastAsia" w:ascii="宋体" w:hAnsi="宋体" w:cs="宋体"/>
          <w:color w:val="auto"/>
          <w:sz w:val="21"/>
          <w:szCs w:val="21"/>
          <w:highlight w:val="none"/>
          <w:lang w:val="en-US" w:eastAsia="zh-CN" w:bidi="ar"/>
        </w:rPr>
        <w:t>0元</w:t>
      </w:r>
      <w:r>
        <w:rPr>
          <w:rFonts w:hint="eastAsia" w:ascii="宋体" w:hAnsi="宋体" w:eastAsia="宋体" w:cs="宋体"/>
          <w:color w:val="auto"/>
          <w:sz w:val="21"/>
          <w:szCs w:val="21"/>
          <w:highlight w:val="none"/>
          <w:lang w:bidi="ar"/>
        </w:rPr>
        <w:t>。</w:t>
      </w:r>
    </w:p>
    <w:p w14:paraId="3A1A3896">
      <w:pPr>
        <w:keepNext w:val="0"/>
        <w:keepLines w:val="0"/>
        <w:pageBreakBefore w:val="0"/>
        <w:widowControl w:val="0"/>
        <w:shd w:val="clear"/>
        <w:kinsoku/>
        <w:wordWrap/>
        <w:overflowPunct/>
        <w:topLinePunct/>
        <w:autoSpaceDE/>
        <w:autoSpaceDN/>
        <w:bidi w:val="0"/>
        <w:adjustRightInd w:val="0"/>
        <w:snapToGrid w:val="0"/>
        <w:spacing w:before="0" w:line="360" w:lineRule="auto"/>
        <w:jc w:val="lef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四、提交投标文件截止时间、开标时间和地点</w:t>
      </w:r>
    </w:p>
    <w:p w14:paraId="01EC2B8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color w:val="auto"/>
          <w:sz w:val="21"/>
          <w:szCs w:val="21"/>
          <w:highlight w:val="none"/>
          <w:u w:val="single"/>
        </w:rPr>
      </w:pPr>
      <w:r>
        <w:rPr>
          <w:rFonts w:hint="eastAsia" w:ascii="宋体" w:hAnsi="宋体" w:cs="宋体"/>
          <w:color w:val="auto"/>
          <w:sz w:val="21"/>
          <w:szCs w:val="21"/>
          <w:highlight w:val="none"/>
          <w:lang w:val="en-US" w:eastAsia="zh-CN" w:bidi="ar"/>
        </w:rPr>
        <w:t>1.</w:t>
      </w:r>
      <w:r>
        <w:rPr>
          <w:rFonts w:hint="eastAsia" w:ascii="宋体" w:hAnsi="宋体" w:eastAsia="宋体" w:cs="宋体"/>
          <w:color w:val="auto"/>
          <w:sz w:val="21"/>
          <w:szCs w:val="21"/>
          <w:highlight w:val="none"/>
          <w:lang w:bidi="ar"/>
        </w:rPr>
        <w:t>投标截止时间、开标时间：</w:t>
      </w:r>
      <w:r>
        <w:rPr>
          <w:rFonts w:hint="eastAsia" w:ascii="宋体" w:hAnsi="宋体" w:cs="宋体"/>
          <w:b/>
          <w:bCs/>
          <w:color w:val="auto"/>
          <w:sz w:val="21"/>
          <w:szCs w:val="21"/>
          <w:highlight w:val="none"/>
          <w:u w:val="none"/>
          <w:shd w:val="clear"/>
          <w:lang w:val="en-US" w:eastAsia="zh-CN" w:bidi="ar"/>
        </w:rPr>
        <w:t>2026</w:t>
      </w:r>
      <w:r>
        <w:rPr>
          <w:rFonts w:hint="eastAsia" w:ascii="宋体" w:hAnsi="宋体" w:eastAsia="宋体" w:cs="宋体"/>
          <w:b/>
          <w:bCs/>
          <w:color w:val="auto"/>
          <w:sz w:val="21"/>
          <w:szCs w:val="21"/>
          <w:highlight w:val="none"/>
          <w:u w:val="none"/>
          <w:shd w:val="clear"/>
          <w:lang w:val="en-US" w:eastAsia="zh-CN" w:bidi="ar"/>
        </w:rPr>
        <w:t>年</w:t>
      </w:r>
      <w:r>
        <w:rPr>
          <w:rFonts w:hint="eastAsia" w:ascii="宋体" w:hAnsi="宋体" w:cs="宋体"/>
          <w:b/>
          <w:bCs/>
          <w:color w:val="auto"/>
          <w:sz w:val="21"/>
          <w:szCs w:val="21"/>
          <w:highlight w:val="none"/>
          <w:u w:val="none"/>
          <w:shd w:val="clear"/>
          <w:lang w:val="en-US" w:eastAsia="zh-CN" w:bidi="ar"/>
        </w:rPr>
        <w:t>9</w:t>
      </w:r>
      <w:r>
        <w:rPr>
          <w:rFonts w:hint="eastAsia" w:ascii="宋体" w:hAnsi="宋体" w:eastAsia="宋体" w:cs="宋体"/>
          <w:b/>
          <w:bCs/>
          <w:color w:val="auto"/>
          <w:sz w:val="21"/>
          <w:szCs w:val="21"/>
          <w:highlight w:val="none"/>
          <w:u w:val="none"/>
          <w:shd w:val="clear"/>
          <w:lang w:val="en-US" w:eastAsia="zh-CN" w:bidi="ar"/>
        </w:rPr>
        <w:t>月</w:t>
      </w:r>
      <w:r>
        <w:rPr>
          <w:rFonts w:hint="eastAsia" w:ascii="宋体" w:hAnsi="宋体" w:cs="宋体"/>
          <w:b/>
          <w:bCs/>
          <w:color w:val="auto"/>
          <w:sz w:val="21"/>
          <w:szCs w:val="21"/>
          <w:highlight w:val="none"/>
          <w:u w:val="none"/>
          <w:shd w:val="clear"/>
          <w:lang w:val="en-US" w:eastAsia="zh-CN" w:bidi="ar"/>
        </w:rPr>
        <w:t>24</w:t>
      </w:r>
      <w:r>
        <w:rPr>
          <w:rFonts w:hint="eastAsia" w:ascii="宋体" w:hAnsi="宋体" w:eastAsia="宋体" w:cs="宋体"/>
          <w:b/>
          <w:bCs/>
          <w:color w:val="auto"/>
          <w:sz w:val="21"/>
          <w:szCs w:val="21"/>
          <w:highlight w:val="none"/>
          <w:u w:val="none"/>
          <w:shd w:val="clear"/>
          <w:lang w:val="en-US" w:eastAsia="zh-CN" w:bidi="ar"/>
        </w:rPr>
        <w:t>日</w:t>
      </w:r>
      <w:r>
        <w:rPr>
          <w:rFonts w:hint="eastAsia" w:ascii="宋体" w:hAnsi="宋体" w:cs="宋体"/>
          <w:b/>
          <w:bCs/>
          <w:color w:val="auto"/>
          <w:sz w:val="21"/>
          <w:szCs w:val="21"/>
          <w:highlight w:val="none"/>
          <w:u w:val="none"/>
          <w:shd w:val="clear"/>
          <w:lang w:val="en-US" w:eastAsia="zh-CN" w:bidi="ar"/>
        </w:rPr>
        <w:t>09</w:t>
      </w:r>
      <w:r>
        <w:rPr>
          <w:rFonts w:hint="eastAsia" w:ascii="宋体" w:hAnsi="宋体" w:eastAsia="宋体" w:cs="宋体"/>
          <w:b/>
          <w:bCs/>
          <w:color w:val="auto"/>
          <w:sz w:val="21"/>
          <w:szCs w:val="21"/>
          <w:highlight w:val="none"/>
          <w:u w:val="none"/>
          <w:shd w:val="clear"/>
          <w:lang w:val="en-US" w:eastAsia="zh-CN" w:bidi="ar"/>
        </w:rPr>
        <w:t>点</w:t>
      </w:r>
      <w:r>
        <w:rPr>
          <w:rFonts w:hint="eastAsia" w:ascii="宋体" w:hAnsi="宋体" w:cs="宋体"/>
          <w:b/>
          <w:bCs/>
          <w:color w:val="auto"/>
          <w:sz w:val="21"/>
          <w:szCs w:val="21"/>
          <w:highlight w:val="none"/>
          <w:u w:val="none"/>
          <w:shd w:val="clear"/>
          <w:lang w:val="en-US" w:eastAsia="zh-CN" w:bidi="ar"/>
        </w:rPr>
        <w:t>00</w:t>
      </w:r>
      <w:r>
        <w:rPr>
          <w:rFonts w:hint="eastAsia" w:ascii="宋体" w:hAnsi="宋体" w:eastAsia="宋体" w:cs="宋体"/>
          <w:b/>
          <w:bCs/>
          <w:color w:val="auto"/>
          <w:sz w:val="21"/>
          <w:szCs w:val="21"/>
          <w:highlight w:val="none"/>
          <w:u w:val="none"/>
          <w:shd w:val="clear"/>
          <w:lang w:val="en-US" w:eastAsia="zh-CN" w:bidi="ar"/>
        </w:rPr>
        <w:t>分</w:t>
      </w:r>
      <w:r>
        <w:rPr>
          <w:rFonts w:hint="eastAsia" w:ascii="宋体" w:hAnsi="宋体" w:eastAsia="宋体" w:cs="宋体"/>
          <w:b/>
          <w:bCs/>
          <w:color w:val="auto"/>
          <w:sz w:val="21"/>
          <w:szCs w:val="21"/>
          <w:highlight w:val="none"/>
          <w:lang w:bidi="ar"/>
        </w:rPr>
        <w:t>（北京时间）</w:t>
      </w:r>
      <w:r>
        <w:rPr>
          <w:rFonts w:hint="eastAsia" w:ascii="宋体" w:hAnsi="宋体" w:eastAsia="宋体" w:cs="宋体"/>
          <w:iCs/>
          <w:color w:val="auto"/>
          <w:sz w:val="21"/>
          <w:szCs w:val="21"/>
          <w:highlight w:val="none"/>
          <w:lang w:bidi="ar"/>
        </w:rPr>
        <w:t>。</w:t>
      </w:r>
    </w:p>
    <w:p w14:paraId="482702C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zh-TW" w:bidi="ar"/>
        </w:rPr>
      </w:pPr>
      <w:r>
        <w:rPr>
          <w:rFonts w:hint="eastAsia" w:ascii="宋体" w:hAnsi="宋体" w:cs="宋体"/>
          <w:color w:val="auto"/>
          <w:sz w:val="21"/>
          <w:szCs w:val="21"/>
          <w:highlight w:val="none"/>
          <w:lang w:val="en-US" w:eastAsia="zh-CN" w:bidi="ar"/>
        </w:rPr>
        <w:t>2.</w:t>
      </w:r>
      <w:r>
        <w:rPr>
          <w:rFonts w:hint="eastAsia" w:ascii="宋体" w:hAnsi="宋体" w:eastAsia="宋体" w:cs="宋体"/>
          <w:color w:val="auto"/>
          <w:sz w:val="21"/>
          <w:szCs w:val="21"/>
          <w:highlight w:val="none"/>
          <w:lang w:bidi="ar"/>
        </w:rPr>
        <w:t>地点：</w:t>
      </w:r>
      <w:r>
        <w:rPr>
          <w:rFonts w:hint="eastAsia" w:ascii="宋体" w:hAnsi="宋体" w:eastAsia="宋体" w:cs="宋体"/>
          <w:color w:val="auto"/>
          <w:sz w:val="21"/>
          <w:szCs w:val="21"/>
          <w:highlight w:val="none"/>
          <w:u w:val="none"/>
          <w:lang w:bidi="ar"/>
        </w:rPr>
        <w:t>本项目采用不见面交易方式，无需到现场提交，投标人登录政府采购一体化平台“苏采云”供应商端，通过系统在线提交电子投标文件。</w:t>
      </w:r>
    </w:p>
    <w:p w14:paraId="6C530741">
      <w:pPr>
        <w:keepNext w:val="0"/>
        <w:keepLines w:val="0"/>
        <w:pageBreakBefore w:val="0"/>
        <w:widowControl w:val="0"/>
        <w:shd w:val="clear"/>
        <w:kinsoku/>
        <w:wordWrap/>
        <w:overflowPunct/>
        <w:topLinePunct/>
        <w:autoSpaceDE/>
        <w:autoSpaceDN/>
        <w:bidi w:val="0"/>
        <w:adjustRightInd w:val="0"/>
        <w:snapToGrid w:val="0"/>
        <w:spacing w:before="0" w:line="360" w:lineRule="auto"/>
        <w:jc w:val="lef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五、公告期限</w:t>
      </w:r>
    </w:p>
    <w:p w14:paraId="12C7F78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自本公告发布之日起5个工作日。</w:t>
      </w:r>
    </w:p>
    <w:p w14:paraId="5A9A7C8C">
      <w:pPr>
        <w:keepNext w:val="0"/>
        <w:keepLines w:val="0"/>
        <w:pageBreakBefore w:val="0"/>
        <w:widowControl w:val="0"/>
        <w:shd w:val="clear"/>
        <w:kinsoku/>
        <w:wordWrap/>
        <w:overflowPunct/>
        <w:topLinePunct/>
        <w:autoSpaceDE/>
        <w:autoSpaceDN/>
        <w:bidi w:val="0"/>
        <w:adjustRightInd w:val="0"/>
        <w:snapToGrid w:val="0"/>
        <w:spacing w:before="0" w:line="360" w:lineRule="auto"/>
        <w:jc w:val="lef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六、其他补充事宜</w:t>
      </w:r>
    </w:p>
    <w:p w14:paraId="64CC2BC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1.本项目需要落实的政府采购政策</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668655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本项目采用不见面交易方式，请</w:t>
      </w:r>
      <w:r>
        <w:rPr>
          <w:rFonts w:hint="eastAsia" w:ascii="宋体" w:hAnsi="宋体" w:cs="宋体"/>
          <w:color w:val="auto"/>
          <w:kern w:val="0"/>
          <w:sz w:val="21"/>
          <w:szCs w:val="21"/>
          <w:highlight w:val="none"/>
          <w:lang w:val="en-US" w:eastAsia="zh-CN"/>
        </w:rPr>
        <w:t>投标人</w:t>
      </w:r>
      <w:r>
        <w:rPr>
          <w:rFonts w:hint="eastAsia" w:ascii="宋体" w:hAnsi="宋体" w:eastAsia="宋体" w:cs="宋体"/>
          <w:color w:val="auto"/>
          <w:kern w:val="0"/>
          <w:sz w:val="21"/>
          <w:szCs w:val="21"/>
          <w:highlight w:val="none"/>
        </w:rPr>
        <w:t>认真学习政府采购一体化平台“苏采云”的相关操作手册，办理CA认证证书、进行政府采购一体化平台“苏采云”注册绑定，并认真核实数字认证证书情况确认是否符合本项目电子化采购流程要求。</w:t>
      </w:r>
    </w:p>
    <w:p w14:paraId="1380167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根据省财政厅《关于更换全省政府采购交易系统C A数字证书和电子签章的通知》（苏财购〔2023〕101号），“苏采云”政府采购交易系统（以下简称苏采云系统）的CA数字证书、电子签章已更换为江苏省电子政务证书认证中心C A和方正国际软件（北京）有限公司电子签章。如果投标人通过苏采云系统参与政府采购项目，需要更换CA数字证书和电子签章。具体办理指南和操作手册详见江苏政府采购网或常州市政府采购网的“苏采云”相关专栏。领取CA和办理电子签章[请至常州市锦绣路2号常州市政务服务中心1-1号楼四楼大厅CA办理窗口办理，窗口联系电话0519-85588120，其他联系方式见《苏采云系统供应商操作手册》（以下简称《操作手册》）]及“苏采云”系统公布的相关联系方式，进行注册并按《操作手册》要求制作、上传电子投标文件等。操作“苏采云”系统过程中如有不明，请及时联系苏采云客服。</w:t>
      </w:r>
    </w:p>
    <w:p w14:paraId="3FEA30A7">
      <w:pPr>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zh-TW" w:bidi="ar"/>
        </w:rPr>
      </w:pPr>
      <w:r>
        <w:rPr>
          <w:rFonts w:hint="eastAsia" w:ascii="宋体" w:hAnsi="宋体" w:cs="宋体"/>
          <w:color w:val="auto"/>
          <w:sz w:val="21"/>
          <w:szCs w:val="21"/>
          <w:highlight w:val="none"/>
          <w:lang w:val="en-US" w:eastAsia="zh-CN" w:bidi="ar"/>
        </w:rPr>
        <w:t>3</w:t>
      </w:r>
      <w:r>
        <w:rPr>
          <w:rFonts w:hint="eastAsia" w:ascii="宋体" w:hAnsi="宋体" w:eastAsia="宋体" w:cs="宋体"/>
          <w:color w:val="auto"/>
          <w:sz w:val="21"/>
          <w:szCs w:val="21"/>
          <w:highlight w:val="none"/>
          <w:lang w:val="zh-TW" w:bidi="ar"/>
        </w:rPr>
        <w:t>.本项目不收取投标保证金。</w:t>
      </w:r>
    </w:p>
    <w:p w14:paraId="0EF47C50">
      <w:pPr>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4.本项目资格后审。</w:t>
      </w:r>
    </w:p>
    <w:p w14:paraId="14964ED8">
      <w:pPr>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5.公告发布媒体：江苏政府采购网、常州市政府采购网、常州青枫招标有限公司网站。</w:t>
      </w:r>
    </w:p>
    <w:p w14:paraId="758FBD21">
      <w:pPr>
        <w:keepNext w:val="0"/>
        <w:keepLines w:val="0"/>
        <w:pageBreakBefore w:val="0"/>
        <w:widowControl w:val="0"/>
        <w:kinsoku/>
        <w:wordWrap/>
        <w:overflowPunct/>
        <w:topLinePunct/>
        <w:autoSpaceDE/>
        <w:autoSpaceDN/>
        <w:bidi w:val="0"/>
        <w:adjustRightInd w:val="0"/>
        <w:snapToGrid w:val="0"/>
        <w:spacing w:line="360" w:lineRule="auto"/>
        <w:ind w:firstLine="422" w:firstLineChars="200"/>
        <w:jc w:val="left"/>
        <w:textAlignment w:val="auto"/>
        <w:outlineLvl w:val="9"/>
        <w:rPr>
          <w:rFonts w:hint="eastAsia" w:ascii="宋体" w:hAnsi="宋体" w:eastAsia="宋体" w:cs="宋体"/>
          <w:b/>
          <w:bCs/>
          <w:color w:val="auto"/>
          <w:sz w:val="21"/>
          <w:szCs w:val="21"/>
          <w:highlight w:val="none"/>
          <w:lang w:val="zh-TW" w:bidi="ar"/>
        </w:rPr>
      </w:pPr>
      <w:r>
        <w:rPr>
          <w:rFonts w:hint="eastAsia" w:ascii="宋体" w:hAnsi="宋体" w:cs="宋体"/>
          <w:b/>
          <w:bCs/>
          <w:color w:val="auto"/>
          <w:sz w:val="21"/>
          <w:szCs w:val="21"/>
          <w:highlight w:val="none"/>
          <w:lang w:val="en-US" w:eastAsia="zh-CN" w:bidi="ar"/>
        </w:rPr>
        <w:t>6</w:t>
      </w:r>
      <w:r>
        <w:rPr>
          <w:rFonts w:hint="eastAsia" w:ascii="宋体" w:hAnsi="宋体" w:eastAsia="宋体" w:cs="宋体"/>
          <w:b/>
          <w:bCs/>
          <w:color w:val="auto"/>
          <w:sz w:val="21"/>
          <w:szCs w:val="21"/>
          <w:highlight w:val="none"/>
          <w:lang w:val="zh-TW" w:bidi="ar"/>
        </w:rPr>
        <w:t>.关于常州市中小企业政府采购信用融资</w:t>
      </w:r>
    </w:p>
    <w:p w14:paraId="6015566A">
      <w:pPr>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zh-TW" w:bidi="ar"/>
        </w:rPr>
      </w:pPr>
      <w:r>
        <w:rPr>
          <w:rFonts w:hint="eastAsia" w:ascii="宋体" w:hAnsi="宋体" w:eastAsia="宋体" w:cs="宋体"/>
          <w:color w:val="auto"/>
          <w:sz w:val="21"/>
          <w:szCs w:val="21"/>
          <w:highlight w:val="none"/>
          <w:lang w:val="zh-TW" w:bidi="ar"/>
        </w:rPr>
        <w:t>根据《常州市财政局中国人民银行常州市中心支行关于进一步推进政府采购信用融资工作的通知》（常财购〔2021〕13号）等有关文件精神，我市实行政府采购信用融资，将信用作为政策工具引入政府采购领域，金融机构根据政府采购项目中标（成交）通知书或中标（成交）合同，为中标（成交）中小企业供应商提供相应额度贷款的融资模式。申请条件及操作流程等事项详见该文件相关内容或者常州市政府采购网--政采融资平台栏目。</w:t>
      </w:r>
    </w:p>
    <w:p w14:paraId="39AD2F67">
      <w:pPr>
        <w:keepNext w:val="0"/>
        <w:keepLines w:val="0"/>
        <w:pageBreakBefore w:val="0"/>
        <w:widowControl w:val="0"/>
        <w:shd w:val="clear"/>
        <w:kinsoku/>
        <w:wordWrap/>
        <w:overflowPunct/>
        <w:topLinePunct/>
        <w:autoSpaceDE/>
        <w:autoSpaceDN/>
        <w:bidi w:val="0"/>
        <w:adjustRightInd w:val="0"/>
        <w:snapToGrid w:val="0"/>
        <w:spacing w:before="0" w:line="360" w:lineRule="auto"/>
        <w:jc w:val="left"/>
        <w:textAlignment w:val="auto"/>
        <w:outlineLvl w:val="1"/>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七、对本次招标提出询问，请按以下方式联系</w:t>
      </w:r>
      <w:r>
        <w:rPr>
          <w:rFonts w:hint="eastAsia" w:ascii="宋体" w:hAnsi="宋体" w:eastAsia="宋体" w:cs="宋体"/>
          <w:b/>
          <w:bCs/>
          <w:color w:val="auto"/>
          <w:sz w:val="21"/>
          <w:szCs w:val="21"/>
          <w:highlight w:val="none"/>
          <w:lang w:eastAsia="zh-CN"/>
        </w:rPr>
        <w:t>。</w:t>
      </w:r>
    </w:p>
    <w:p w14:paraId="33A42EEC">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jc w:val="lef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1.采购人信息</w:t>
      </w:r>
    </w:p>
    <w:p w14:paraId="4B5A63D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名称：</w:t>
      </w:r>
      <w:r>
        <w:rPr>
          <w:rFonts w:hint="eastAsia" w:ascii="宋体" w:hAnsi="宋体" w:cs="宋体"/>
          <w:color w:val="auto"/>
          <w:sz w:val="21"/>
          <w:szCs w:val="21"/>
          <w:highlight w:val="none"/>
          <w:u w:val="none"/>
          <w:lang w:eastAsia="zh-CN"/>
        </w:rPr>
        <w:t>常州市钟楼区机关事务管理中心</w:t>
      </w:r>
    </w:p>
    <w:p w14:paraId="7AF73CC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地址：</w:t>
      </w:r>
      <w:r>
        <w:rPr>
          <w:rFonts w:hint="eastAsia" w:ascii="宋体" w:hAnsi="宋体" w:cs="宋体"/>
          <w:color w:val="auto"/>
          <w:szCs w:val="21"/>
          <w:highlight w:val="none"/>
          <w:u w:val="none"/>
        </w:rPr>
        <w:t>常州市钟楼区星港路88号3楼</w:t>
      </w:r>
    </w:p>
    <w:p w14:paraId="3BBBC552">
      <w:pPr>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刘先生</w:t>
      </w:r>
    </w:p>
    <w:p w14:paraId="3FB9EA78">
      <w:pPr>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0519-</w:t>
      </w:r>
      <w:r>
        <w:rPr>
          <w:rFonts w:hint="eastAsia" w:ascii="宋体" w:hAnsi="宋体" w:cs="宋体"/>
          <w:color w:val="auto"/>
          <w:szCs w:val="21"/>
          <w:highlight w:val="none"/>
        </w:rPr>
        <w:t>88890366</w:t>
      </w:r>
    </w:p>
    <w:p w14:paraId="338E1BA6">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jc w:val="left"/>
        <w:textAlignment w:val="auto"/>
        <w:outlineLvl w:val="9"/>
        <w:rPr>
          <w:rFonts w:hint="eastAsia" w:ascii="宋体" w:hAnsi="宋体" w:eastAsia="宋体" w:cs="宋体"/>
          <w:b/>
          <w:color w:val="auto"/>
          <w:sz w:val="21"/>
          <w:szCs w:val="21"/>
          <w:highlight w:val="none"/>
          <w:u w:val="none"/>
        </w:rPr>
      </w:pPr>
      <w:r>
        <w:rPr>
          <w:rFonts w:hint="eastAsia" w:ascii="宋体" w:hAnsi="宋体" w:eastAsia="宋体" w:cs="宋体"/>
          <w:b/>
          <w:color w:val="auto"/>
          <w:sz w:val="21"/>
          <w:szCs w:val="21"/>
          <w:highlight w:val="none"/>
          <w:u w:val="none"/>
        </w:rPr>
        <w:t>2.采购代理机构信息</w:t>
      </w:r>
    </w:p>
    <w:p w14:paraId="31DA9B0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名称：常州青枫招标有限公司</w:t>
      </w:r>
    </w:p>
    <w:p w14:paraId="29C5153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地址：常州市钟楼区运河路198号博济新博智汇谷</w:t>
      </w:r>
      <w:r>
        <w:rPr>
          <w:rFonts w:hint="eastAsia" w:ascii="宋体" w:hAnsi="宋体" w:cs="宋体"/>
          <w:color w:val="auto"/>
          <w:sz w:val="21"/>
          <w:szCs w:val="21"/>
          <w:highlight w:val="none"/>
          <w:u w:val="none"/>
          <w:lang w:eastAsia="zh-CN"/>
        </w:rPr>
        <w:t>5栋202</w:t>
      </w:r>
      <w:r>
        <w:rPr>
          <w:rFonts w:hint="eastAsia" w:ascii="宋体" w:hAnsi="宋体" w:eastAsia="宋体" w:cs="宋体"/>
          <w:color w:val="auto"/>
          <w:sz w:val="21"/>
          <w:szCs w:val="21"/>
          <w:highlight w:val="none"/>
          <w:u w:val="none"/>
        </w:rPr>
        <w:t>室</w:t>
      </w:r>
    </w:p>
    <w:p w14:paraId="12152E2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联系人：王工</w:t>
      </w:r>
    </w:p>
    <w:p w14:paraId="55BBFCF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联系方式：0519-88119558</w:t>
      </w:r>
    </w:p>
    <w:p w14:paraId="70531798">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jc w:val="left"/>
        <w:textAlignment w:val="auto"/>
        <w:outlineLvl w:val="9"/>
        <w:rPr>
          <w:rFonts w:hint="eastAsia" w:ascii="宋体" w:hAnsi="宋体" w:eastAsia="宋体" w:cs="宋体"/>
          <w:b/>
          <w:color w:val="auto"/>
          <w:sz w:val="21"/>
          <w:szCs w:val="21"/>
          <w:highlight w:val="none"/>
          <w:u w:val="none"/>
        </w:rPr>
      </w:pPr>
      <w:r>
        <w:rPr>
          <w:rFonts w:hint="eastAsia" w:ascii="宋体" w:hAnsi="宋体" w:eastAsia="宋体" w:cs="宋体"/>
          <w:b/>
          <w:color w:val="auto"/>
          <w:sz w:val="21"/>
          <w:szCs w:val="21"/>
          <w:highlight w:val="none"/>
          <w:u w:val="none"/>
        </w:rPr>
        <w:t>3.项目联系方式</w:t>
      </w:r>
    </w:p>
    <w:p w14:paraId="14787D36">
      <w:pPr>
        <w:pStyle w:val="11"/>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rPr>
        <w:t>项目联系人：</w:t>
      </w:r>
      <w:r>
        <w:rPr>
          <w:rFonts w:hint="eastAsia" w:hAnsi="宋体" w:cs="宋体"/>
          <w:color w:val="auto"/>
          <w:sz w:val="21"/>
          <w:szCs w:val="21"/>
          <w:highlight w:val="none"/>
          <w:u w:val="none"/>
          <w:lang w:val="en-US" w:eastAsia="zh-CN"/>
        </w:rPr>
        <w:t>王工</w:t>
      </w:r>
    </w:p>
    <w:p w14:paraId="78FF93BD">
      <w:pPr>
        <w:pStyle w:val="11"/>
        <w:topLinePunct/>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电话：0519-88119558</w:t>
      </w:r>
    </w:p>
    <w:p w14:paraId="5D45CE2C">
      <w:pPr>
        <w:pStyle w:val="11"/>
        <w:topLinePunct/>
        <w:adjustRightInd w:val="0"/>
        <w:snapToGrid w:val="0"/>
        <w:spacing w:line="360" w:lineRule="auto"/>
        <w:ind w:firstLine="0" w:firstLineChars="0"/>
        <w:jc w:val="left"/>
        <w:outlineLvl w:val="9"/>
        <w:rPr>
          <w:rFonts w:hint="eastAsia" w:eastAsia="宋体"/>
          <w:lang w:eastAsia="zh-CN"/>
        </w:rPr>
      </w:pPr>
    </w:p>
    <w:p w14:paraId="28C9D517">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br w:type="page"/>
      </w:r>
    </w:p>
    <w:p w14:paraId="669FE12E">
      <w:pPr>
        <w:pStyle w:val="11"/>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0"/>
        <w:rPr>
          <w:rFonts w:hint="eastAsia" w:ascii="宋体" w:hAnsi="宋体" w:eastAsia="宋体" w:cs="宋体"/>
          <w:b/>
          <w:color w:val="auto"/>
          <w:sz w:val="32"/>
          <w:szCs w:val="32"/>
          <w:highlight w:val="none"/>
        </w:rPr>
      </w:pPr>
      <w:bookmarkStart w:id="2" w:name="_Toc25298"/>
      <w:r>
        <w:rPr>
          <w:rFonts w:hint="eastAsia" w:ascii="宋体" w:hAnsi="宋体" w:eastAsia="宋体" w:cs="宋体"/>
          <w:b/>
          <w:color w:val="auto"/>
          <w:sz w:val="32"/>
          <w:szCs w:val="32"/>
          <w:highlight w:val="none"/>
        </w:rPr>
        <w:t>第二章</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投标人须知</w:t>
      </w:r>
      <w:bookmarkEnd w:id="2"/>
    </w:p>
    <w:p w14:paraId="5BB51879">
      <w:pPr>
        <w:keepNext w:val="0"/>
        <w:keepLines w:val="0"/>
        <w:pageBreakBefore w:val="0"/>
        <w:widowControl w:val="0"/>
        <w:shd w:val="clear"/>
        <w:tabs>
          <w:tab w:val="center" w:pos="4592"/>
          <w:tab w:val="left" w:pos="7860"/>
        </w:tabs>
        <w:kinsoku/>
        <w:wordWrap/>
        <w:overflowPunct/>
        <w:topLinePunct/>
        <w:autoSpaceDE/>
        <w:autoSpaceDN/>
        <w:bidi w:val="0"/>
        <w:adjustRightInd w:val="0"/>
        <w:snapToGrid w:val="0"/>
        <w:spacing w:before="0" w:line="360" w:lineRule="auto"/>
        <w:jc w:val="center"/>
        <w:outlineLvl w:val="9"/>
        <w:rPr>
          <w:rFonts w:hint="eastAsia" w:ascii="宋体" w:hAnsi="宋体" w:eastAsia="宋体" w:cs="宋体"/>
          <w:b/>
          <w:bCs/>
          <w:color w:val="auto"/>
          <w:sz w:val="28"/>
          <w:highlight w:val="none"/>
        </w:rPr>
      </w:pPr>
      <w:r>
        <w:rPr>
          <w:rFonts w:hint="eastAsia" w:ascii="宋体" w:hAnsi="宋体" w:eastAsia="宋体" w:cs="宋体"/>
          <w:b/>
          <w:bCs/>
          <w:color w:val="auto"/>
          <w:sz w:val="28"/>
          <w:highlight w:val="none"/>
        </w:rPr>
        <w:t>投标人须知资料表</w:t>
      </w:r>
    </w:p>
    <w:p w14:paraId="7F5FE94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本表是对投标人须知的具体补充和修改，如有矛盾，均以本资料表为准。</w:t>
      </w:r>
    </w:p>
    <w:p w14:paraId="1EF0BB7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标记“</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”的选项意为适用于本项目，标记“□”的选项意为不适用于本项目。</w:t>
      </w:r>
    </w:p>
    <w:tbl>
      <w:tblPr>
        <w:tblStyle w:val="18"/>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6487"/>
      </w:tblGrid>
      <w:tr w14:paraId="4458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988" w:type="dxa"/>
            <w:noWrap w:val="0"/>
            <w:vAlign w:val="center"/>
          </w:tcPr>
          <w:p w14:paraId="3A278BA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条款号</w:t>
            </w:r>
          </w:p>
        </w:tc>
        <w:tc>
          <w:tcPr>
            <w:tcW w:w="1701" w:type="dxa"/>
            <w:noWrap w:val="0"/>
            <w:vAlign w:val="center"/>
          </w:tcPr>
          <w:p w14:paraId="6B70C86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条目</w:t>
            </w:r>
          </w:p>
        </w:tc>
        <w:tc>
          <w:tcPr>
            <w:tcW w:w="6487" w:type="dxa"/>
            <w:noWrap w:val="0"/>
            <w:vAlign w:val="center"/>
          </w:tcPr>
          <w:p w14:paraId="1424447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内容</w:t>
            </w:r>
          </w:p>
        </w:tc>
      </w:tr>
      <w:tr w14:paraId="4399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234B90D2">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2.2</w:t>
            </w:r>
          </w:p>
        </w:tc>
        <w:tc>
          <w:tcPr>
            <w:tcW w:w="1701" w:type="dxa"/>
            <w:shd w:val="clear" w:color="auto" w:fill="auto"/>
            <w:noWrap w:val="0"/>
            <w:vAlign w:val="center"/>
          </w:tcPr>
          <w:p w14:paraId="6C73130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项目属性</w:t>
            </w:r>
          </w:p>
        </w:tc>
        <w:tc>
          <w:tcPr>
            <w:tcW w:w="6487" w:type="dxa"/>
            <w:shd w:val="clear" w:color="auto" w:fill="auto"/>
            <w:noWrap w:val="0"/>
            <w:vAlign w:val="center"/>
          </w:tcPr>
          <w:p w14:paraId="316D48D4">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项目属性：</w:t>
            </w:r>
          </w:p>
          <w:p w14:paraId="2E852EB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■服务</w:t>
            </w:r>
          </w:p>
          <w:p w14:paraId="38C7A2A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u w:val="single"/>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货物</w:t>
            </w:r>
          </w:p>
        </w:tc>
      </w:tr>
      <w:tr w14:paraId="3281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484D3DAD">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2.3</w:t>
            </w:r>
          </w:p>
        </w:tc>
        <w:tc>
          <w:tcPr>
            <w:tcW w:w="1701" w:type="dxa"/>
            <w:shd w:val="clear" w:color="auto" w:fill="auto"/>
            <w:noWrap w:val="0"/>
            <w:vAlign w:val="center"/>
          </w:tcPr>
          <w:p w14:paraId="20177FF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科研仪器设备</w:t>
            </w:r>
          </w:p>
        </w:tc>
        <w:tc>
          <w:tcPr>
            <w:tcW w:w="6487" w:type="dxa"/>
            <w:noWrap w:val="0"/>
            <w:vAlign w:val="center"/>
          </w:tcPr>
          <w:p w14:paraId="0A25009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是否属于科研仪器设备采购项目：</w:t>
            </w:r>
          </w:p>
          <w:p w14:paraId="55B5514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□是</w:t>
            </w:r>
          </w:p>
          <w:p w14:paraId="19DD65E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■否</w:t>
            </w:r>
          </w:p>
        </w:tc>
      </w:tr>
      <w:tr w14:paraId="3BDB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10C2BCA7">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2.4</w:t>
            </w:r>
          </w:p>
        </w:tc>
        <w:tc>
          <w:tcPr>
            <w:tcW w:w="1701" w:type="dxa"/>
            <w:noWrap w:val="0"/>
            <w:vAlign w:val="center"/>
          </w:tcPr>
          <w:p w14:paraId="750C472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核心产品</w:t>
            </w:r>
          </w:p>
        </w:tc>
        <w:tc>
          <w:tcPr>
            <w:tcW w:w="6487" w:type="dxa"/>
            <w:noWrap w:val="0"/>
            <w:vAlign w:val="center"/>
          </w:tcPr>
          <w:p w14:paraId="403B0281">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■关于核心产品本项目</w:t>
            </w:r>
            <w:r>
              <w:rPr>
                <w:rFonts w:hint="eastAsia" w:ascii="宋体" w:hAnsi="宋体" w:eastAsia="宋体" w:cs="宋体"/>
                <w:b w:val="0"/>
                <w:bCs/>
                <w:color w:val="auto"/>
                <w:sz w:val="21"/>
                <w:szCs w:val="21"/>
                <w:highlight w:val="none"/>
                <w:u w:val="single"/>
                <w:lang w:val="en-US" w:eastAsia="zh-CN"/>
              </w:rPr>
              <w:t xml:space="preserve">  </w:t>
            </w:r>
            <w:r>
              <w:rPr>
                <w:rFonts w:hint="eastAsia" w:hAnsi="宋体" w:cs="宋体"/>
                <w:b w:val="0"/>
                <w:bCs/>
                <w:color w:val="auto"/>
                <w:sz w:val="21"/>
                <w:szCs w:val="21"/>
                <w:highlight w:val="none"/>
                <w:u w:val="single"/>
                <w:lang w:val="en-US" w:eastAsia="zh-CN"/>
              </w:rPr>
              <w:t>所有</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包不适用。</w:t>
            </w:r>
          </w:p>
          <w:p w14:paraId="767F090D">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□本项目</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rPr>
              <w:t>包为单一产品采购项目。</w:t>
            </w:r>
          </w:p>
          <w:p w14:paraId="69BB8F9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□本项目</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rPr>
              <w:t>包为非单一产品采购项目，核心产品为</w:t>
            </w:r>
            <w:r>
              <w:rPr>
                <w:rFonts w:hint="eastAsia" w:ascii="宋体" w:hAnsi="宋体" w:eastAsia="宋体" w:cs="宋体"/>
                <w:b w:val="0"/>
                <w:bCs/>
                <w:color w:val="auto"/>
                <w:sz w:val="21"/>
                <w:szCs w:val="21"/>
                <w:highlight w:val="none"/>
                <w:u w:val="none"/>
              </w:rPr>
              <w:t>：</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u w:val="none"/>
              </w:rPr>
              <w:t>。</w:t>
            </w:r>
          </w:p>
        </w:tc>
      </w:tr>
      <w:tr w14:paraId="33E2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vMerge w:val="restart"/>
            <w:noWrap w:val="0"/>
            <w:vAlign w:val="center"/>
          </w:tcPr>
          <w:p w14:paraId="6BCB72C0">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3.1</w:t>
            </w:r>
          </w:p>
        </w:tc>
        <w:tc>
          <w:tcPr>
            <w:tcW w:w="1701" w:type="dxa"/>
            <w:noWrap w:val="0"/>
            <w:vAlign w:val="center"/>
          </w:tcPr>
          <w:p w14:paraId="24E1B46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现场考察</w:t>
            </w:r>
          </w:p>
        </w:tc>
        <w:tc>
          <w:tcPr>
            <w:tcW w:w="6487" w:type="dxa"/>
            <w:noWrap w:val="0"/>
            <w:vAlign w:val="center"/>
          </w:tcPr>
          <w:p w14:paraId="24FC962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■不组织</w:t>
            </w:r>
          </w:p>
          <w:p w14:paraId="2487329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□组织，考察时间：</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年</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月</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日</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点</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分</w:t>
            </w:r>
          </w:p>
          <w:p w14:paraId="1BD55AED">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考察地点：</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rPr>
              <w:t>。</w:t>
            </w:r>
          </w:p>
        </w:tc>
      </w:tr>
      <w:tr w14:paraId="2F2F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vMerge w:val="continue"/>
            <w:noWrap w:val="0"/>
            <w:vAlign w:val="center"/>
          </w:tcPr>
          <w:p w14:paraId="57EA5747">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p>
        </w:tc>
        <w:tc>
          <w:tcPr>
            <w:tcW w:w="1701" w:type="dxa"/>
            <w:noWrap w:val="0"/>
            <w:vAlign w:val="center"/>
          </w:tcPr>
          <w:p w14:paraId="0B2887A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开标前答疑会</w:t>
            </w:r>
          </w:p>
        </w:tc>
        <w:tc>
          <w:tcPr>
            <w:tcW w:w="6487" w:type="dxa"/>
            <w:noWrap w:val="0"/>
            <w:vAlign w:val="center"/>
          </w:tcPr>
          <w:p w14:paraId="3B07AC0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■不召开</w:t>
            </w:r>
          </w:p>
          <w:p w14:paraId="0F743DB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□召开，召开时间：</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年</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月</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日</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点</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lang w:bidi="ar"/>
              </w:rPr>
              <w:t>分</w:t>
            </w:r>
          </w:p>
          <w:p w14:paraId="68F68F9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召开地点：</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rPr>
              <w:t>。</w:t>
            </w:r>
          </w:p>
        </w:tc>
      </w:tr>
      <w:tr w14:paraId="59A5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19732F7D">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4.1</w:t>
            </w:r>
          </w:p>
        </w:tc>
        <w:tc>
          <w:tcPr>
            <w:tcW w:w="1701" w:type="dxa"/>
            <w:shd w:val="clear" w:color="auto" w:fill="auto"/>
            <w:noWrap w:val="0"/>
            <w:vAlign w:val="center"/>
          </w:tcPr>
          <w:p w14:paraId="6E6547F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样品</w:t>
            </w:r>
          </w:p>
        </w:tc>
        <w:tc>
          <w:tcPr>
            <w:tcW w:w="6487" w:type="dxa"/>
            <w:noWrap w:val="0"/>
            <w:vAlign w:val="center"/>
          </w:tcPr>
          <w:p w14:paraId="2DBA456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投标样品递交：</w:t>
            </w:r>
          </w:p>
          <w:p w14:paraId="25D2B38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■不需要</w:t>
            </w:r>
          </w:p>
          <w:p w14:paraId="3B23D8E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□需要，具体要求：</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none"/>
                <w:lang w:val="en-US" w:eastAsia="zh-CN"/>
              </w:rPr>
              <w:t>。</w:t>
            </w:r>
          </w:p>
        </w:tc>
      </w:tr>
      <w:tr w14:paraId="3A98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2024412A">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5.2.5</w:t>
            </w:r>
          </w:p>
        </w:tc>
        <w:tc>
          <w:tcPr>
            <w:tcW w:w="1701" w:type="dxa"/>
            <w:shd w:val="clear" w:color="auto" w:fill="auto"/>
            <w:noWrap w:val="0"/>
            <w:vAlign w:val="center"/>
          </w:tcPr>
          <w:p w14:paraId="4BD7C22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标的所属行业</w:t>
            </w:r>
          </w:p>
        </w:tc>
        <w:tc>
          <w:tcPr>
            <w:tcW w:w="6487" w:type="dxa"/>
            <w:shd w:val="clear" w:color="auto" w:fill="auto"/>
            <w:noWrap w:val="0"/>
            <w:vAlign w:val="center"/>
          </w:tcPr>
          <w:p w14:paraId="3C435BB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本项目采购标的对应的中小企业划分标准所属行业：</w:t>
            </w:r>
            <w:r>
              <w:rPr>
                <w:rFonts w:hint="eastAsia" w:ascii="宋体" w:hAnsi="宋体" w:cs="宋体"/>
                <w:b/>
                <w:bCs w:val="0"/>
                <w:i w:val="0"/>
                <w:iCs w:val="0"/>
                <w:color w:val="auto"/>
                <w:sz w:val="21"/>
                <w:szCs w:val="21"/>
                <w:highlight w:val="none"/>
                <w:u w:val="single"/>
                <w:lang w:val="en-US" w:eastAsia="zh-CN"/>
              </w:rPr>
              <w:t>餐饮业</w:t>
            </w:r>
            <w:r>
              <w:rPr>
                <w:rFonts w:hint="eastAsia" w:ascii="宋体" w:hAnsi="宋体" w:eastAsia="宋体" w:cs="宋体"/>
                <w:b w:val="0"/>
                <w:bCs/>
                <w:i w:val="0"/>
                <w:iCs w:val="0"/>
                <w:color w:val="auto"/>
                <w:sz w:val="21"/>
                <w:szCs w:val="21"/>
                <w:highlight w:val="none"/>
                <w:u w:val="none"/>
                <w:lang w:val="en-US" w:eastAsia="zh-CN"/>
              </w:rPr>
              <w:t>。</w:t>
            </w:r>
          </w:p>
        </w:tc>
      </w:tr>
      <w:tr w14:paraId="3A98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296D752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br w:type="page"/>
            </w:r>
            <w:r>
              <w:rPr>
                <w:rFonts w:hint="eastAsia" w:ascii="宋体" w:hAnsi="宋体" w:eastAsia="宋体" w:cs="宋体"/>
                <w:b w:val="0"/>
                <w:bCs/>
                <w:color w:val="auto"/>
                <w:sz w:val="21"/>
                <w:szCs w:val="21"/>
                <w:highlight w:val="none"/>
              </w:rPr>
              <w:t>11.2</w:t>
            </w:r>
          </w:p>
        </w:tc>
        <w:tc>
          <w:tcPr>
            <w:tcW w:w="1701" w:type="dxa"/>
            <w:noWrap w:val="0"/>
            <w:vAlign w:val="center"/>
          </w:tcPr>
          <w:p w14:paraId="1878C7C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投标报价</w:t>
            </w:r>
          </w:p>
        </w:tc>
        <w:tc>
          <w:tcPr>
            <w:tcW w:w="6487" w:type="dxa"/>
            <w:noWrap w:val="0"/>
            <w:vAlign w:val="center"/>
          </w:tcPr>
          <w:p w14:paraId="635DA3E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投标报价的特殊规定：</w:t>
            </w:r>
          </w:p>
          <w:p w14:paraId="26316FF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■无</w:t>
            </w:r>
          </w:p>
          <w:p w14:paraId="781221C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□有，具体情形：</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rPr>
              <w:t>。</w:t>
            </w:r>
          </w:p>
        </w:tc>
      </w:tr>
      <w:tr w14:paraId="32DB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6FB5741F">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12</w:t>
            </w:r>
          </w:p>
        </w:tc>
        <w:tc>
          <w:tcPr>
            <w:tcW w:w="1701" w:type="dxa"/>
            <w:noWrap w:val="0"/>
            <w:vAlign w:val="center"/>
          </w:tcPr>
          <w:p w14:paraId="348B4EE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投标保证金</w:t>
            </w:r>
          </w:p>
        </w:tc>
        <w:tc>
          <w:tcPr>
            <w:tcW w:w="6487" w:type="dxa"/>
            <w:noWrap w:val="0"/>
            <w:vAlign w:val="center"/>
          </w:tcPr>
          <w:p w14:paraId="2D1C886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免收</w:t>
            </w:r>
          </w:p>
        </w:tc>
      </w:tr>
      <w:tr w14:paraId="26AE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6C7082E0">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13.1</w:t>
            </w:r>
          </w:p>
        </w:tc>
        <w:tc>
          <w:tcPr>
            <w:tcW w:w="1701" w:type="dxa"/>
            <w:noWrap w:val="0"/>
            <w:vAlign w:val="center"/>
          </w:tcPr>
          <w:p w14:paraId="3A9AC6A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投标有效期</w:t>
            </w:r>
          </w:p>
        </w:tc>
        <w:tc>
          <w:tcPr>
            <w:tcW w:w="6487" w:type="dxa"/>
            <w:noWrap w:val="0"/>
            <w:vAlign w:val="center"/>
          </w:tcPr>
          <w:p w14:paraId="7A6B1E4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自提交投标文件的截止之日起算</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60 </w:t>
            </w:r>
            <w:r>
              <w:rPr>
                <w:rFonts w:hint="eastAsia" w:ascii="宋体" w:hAnsi="宋体" w:eastAsia="宋体" w:cs="宋体"/>
                <w:b w:val="0"/>
                <w:bCs/>
                <w:color w:val="auto"/>
                <w:sz w:val="21"/>
                <w:szCs w:val="21"/>
                <w:highlight w:val="none"/>
              </w:rPr>
              <w:t>日历天。</w:t>
            </w:r>
          </w:p>
        </w:tc>
      </w:tr>
      <w:tr w14:paraId="4BE6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24C916FD">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25.5</w:t>
            </w:r>
          </w:p>
        </w:tc>
        <w:tc>
          <w:tcPr>
            <w:tcW w:w="1701" w:type="dxa"/>
            <w:noWrap w:val="0"/>
            <w:vAlign w:val="center"/>
          </w:tcPr>
          <w:p w14:paraId="5187AAE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分包</w:t>
            </w:r>
          </w:p>
        </w:tc>
        <w:tc>
          <w:tcPr>
            <w:tcW w:w="6487" w:type="dxa"/>
            <w:noWrap w:val="0"/>
            <w:vAlign w:val="center"/>
          </w:tcPr>
          <w:p w14:paraId="492DFA2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本项目的非主体、非关键性工作是否允许分包： </w:t>
            </w:r>
          </w:p>
          <w:p w14:paraId="1871261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■不允许</w:t>
            </w:r>
          </w:p>
          <w:p w14:paraId="7764FDC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□允许，具体要求：</w:t>
            </w:r>
          </w:p>
          <w:p w14:paraId="2A5E2BC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（1）可以分包履行的具体内容：</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rPr>
              <w:t>；</w:t>
            </w:r>
          </w:p>
          <w:p w14:paraId="2CCC334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（2）允许分包的金额或者比例：</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rPr>
              <w:t>；</w:t>
            </w:r>
          </w:p>
          <w:p w14:paraId="05C9E3F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u w:val="single"/>
              </w:rPr>
            </w:pPr>
            <w:r>
              <w:rPr>
                <w:rFonts w:hint="eastAsia" w:ascii="宋体" w:hAnsi="宋体" w:eastAsia="宋体" w:cs="宋体"/>
                <w:b w:val="0"/>
                <w:bCs/>
                <w:color w:val="auto"/>
                <w:sz w:val="21"/>
                <w:szCs w:val="21"/>
                <w:highlight w:val="none"/>
              </w:rPr>
              <w:t>（3）其他要求：</w:t>
            </w:r>
            <w:r>
              <w:rPr>
                <w:rFonts w:hint="eastAsia" w:ascii="宋体" w:hAnsi="宋体" w:eastAsia="宋体" w:cs="宋体"/>
                <w:b w:val="0"/>
                <w:bCs/>
                <w:color w:val="auto"/>
                <w:sz w:val="21"/>
                <w:szCs w:val="21"/>
                <w:highlight w:val="none"/>
                <w:u w:val="single"/>
                <w:lang w:val="en-US" w:eastAsia="zh-CN"/>
              </w:rPr>
              <w:t xml:space="preserve">  /  </w:t>
            </w:r>
            <w:r>
              <w:rPr>
                <w:rFonts w:hint="eastAsia" w:ascii="宋体" w:hAnsi="宋体" w:eastAsia="宋体" w:cs="宋体"/>
                <w:b w:val="0"/>
                <w:bCs/>
                <w:color w:val="auto"/>
                <w:sz w:val="21"/>
                <w:szCs w:val="21"/>
                <w:highlight w:val="none"/>
              </w:rPr>
              <w:t>。</w:t>
            </w:r>
          </w:p>
        </w:tc>
      </w:tr>
      <w:tr w14:paraId="4123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2CEC10F1">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26.1.1</w:t>
            </w:r>
          </w:p>
        </w:tc>
        <w:tc>
          <w:tcPr>
            <w:tcW w:w="1701" w:type="dxa"/>
            <w:shd w:val="clear" w:color="auto" w:fill="auto"/>
            <w:noWrap w:val="0"/>
            <w:vAlign w:val="center"/>
          </w:tcPr>
          <w:p w14:paraId="04B5F33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询问</w:t>
            </w:r>
          </w:p>
        </w:tc>
        <w:tc>
          <w:tcPr>
            <w:tcW w:w="6487" w:type="dxa"/>
            <w:shd w:val="clear" w:color="auto" w:fill="auto"/>
            <w:noWrap w:val="0"/>
            <w:vAlign w:val="center"/>
          </w:tcPr>
          <w:p w14:paraId="4C36F9A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u w:val="single"/>
                <w:lang w:val="en-US" w:eastAsia="zh-CN"/>
              </w:rPr>
            </w:pPr>
            <w:r>
              <w:rPr>
                <w:rFonts w:hint="eastAsia" w:ascii="宋体" w:hAnsi="宋体" w:eastAsia="宋体" w:cs="宋体"/>
                <w:b w:val="0"/>
                <w:bCs/>
                <w:color w:val="auto"/>
                <w:sz w:val="21"/>
                <w:szCs w:val="21"/>
                <w:highlight w:val="none"/>
                <w:u w:val="none"/>
              </w:rPr>
              <w:t>询问送达形式：</w:t>
            </w:r>
            <w:r>
              <w:rPr>
                <w:rFonts w:hint="eastAsia" w:ascii="宋体" w:hAnsi="宋体" w:eastAsia="宋体" w:cs="宋体"/>
                <w:b w:val="0"/>
                <w:bCs/>
                <w:color w:val="auto"/>
                <w:kern w:val="2"/>
                <w:sz w:val="21"/>
                <w:szCs w:val="21"/>
                <w:highlight w:val="none"/>
                <w:u w:val="single"/>
                <w:lang w:val="en-US" w:eastAsia="zh-CN" w:bidi="ar"/>
              </w:rPr>
              <w:t>书面原件形式递交。（注：询问函：① 必须加盖投标人公章；② 以采购代理机构收到时间为准，否则采购代理机构有权拒收其询问函）</w:t>
            </w:r>
            <w:r>
              <w:rPr>
                <w:rFonts w:hint="eastAsia" w:ascii="宋体" w:hAnsi="宋体" w:eastAsia="宋体" w:cs="宋体"/>
                <w:b w:val="0"/>
                <w:bCs/>
                <w:color w:val="auto"/>
                <w:sz w:val="21"/>
                <w:szCs w:val="21"/>
                <w:highlight w:val="none"/>
                <w:u w:val="single"/>
                <w:lang w:val="en-US" w:eastAsia="zh-CN"/>
              </w:rPr>
              <w:t xml:space="preserve"> </w:t>
            </w:r>
          </w:p>
          <w:p w14:paraId="70A35F3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u w:val="none"/>
              </w:rPr>
              <w:t>询问</w:t>
            </w:r>
            <w:r>
              <w:rPr>
                <w:rFonts w:hint="eastAsia" w:ascii="宋体" w:hAnsi="宋体" w:eastAsia="宋体" w:cs="宋体"/>
                <w:b w:val="0"/>
                <w:bCs/>
                <w:color w:val="auto"/>
                <w:sz w:val="21"/>
                <w:szCs w:val="21"/>
                <w:highlight w:val="none"/>
                <w:u w:val="none"/>
                <w:lang w:eastAsia="zh-CN"/>
              </w:rPr>
              <w:t>时间：</w:t>
            </w:r>
            <w:r>
              <w:rPr>
                <w:rFonts w:hint="eastAsia" w:ascii="宋体" w:hAnsi="宋体" w:cs="宋体"/>
                <w:b w:val="0"/>
                <w:bCs/>
                <w:color w:val="auto"/>
                <w:kern w:val="2"/>
                <w:sz w:val="21"/>
                <w:szCs w:val="21"/>
                <w:highlight w:val="none"/>
                <w:u w:val="single"/>
                <w:shd w:val="clear"/>
                <w:lang w:val="en-US" w:eastAsia="zh-CN" w:bidi="ar"/>
              </w:rPr>
              <w:t>2026</w:t>
            </w:r>
            <w:r>
              <w:rPr>
                <w:rFonts w:hint="eastAsia" w:ascii="宋体" w:hAnsi="宋体" w:eastAsia="宋体" w:cs="宋体"/>
                <w:b w:val="0"/>
                <w:bCs/>
                <w:color w:val="auto"/>
                <w:kern w:val="2"/>
                <w:sz w:val="21"/>
                <w:szCs w:val="21"/>
                <w:highlight w:val="none"/>
                <w:u w:val="single"/>
                <w:shd w:val="clear"/>
                <w:lang w:val="en-US" w:eastAsia="zh-CN" w:bidi="ar"/>
              </w:rPr>
              <w:t>年</w:t>
            </w:r>
            <w:r>
              <w:rPr>
                <w:rFonts w:hint="eastAsia" w:ascii="宋体" w:hAnsi="宋体" w:cs="宋体"/>
                <w:b w:val="0"/>
                <w:bCs/>
                <w:color w:val="auto"/>
                <w:kern w:val="2"/>
                <w:sz w:val="21"/>
                <w:szCs w:val="21"/>
                <w:highlight w:val="none"/>
                <w:u w:val="single"/>
                <w:shd w:val="clear"/>
                <w:lang w:val="en-US" w:eastAsia="zh-CN" w:bidi="ar"/>
              </w:rPr>
              <w:t>9</w:t>
            </w:r>
            <w:r>
              <w:rPr>
                <w:rFonts w:hint="eastAsia" w:ascii="宋体" w:hAnsi="宋体" w:eastAsia="宋体" w:cs="宋体"/>
                <w:b w:val="0"/>
                <w:bCs/>
                <w:color w:val="auto"/>
                <w:kern w:val="2"/>
                <w:sz w:val="21"/>
                <w:szCs w:val="21"/>
                <w:highlight w:val="none"/>
                <w:u w:val="single"/>
                <w:shd w:val="clear"/>
                <w:lang w:val="en-US" w:eastAsia="zh-CN" w:bidi="ar"/>
              </w:rPr>
              <w:t>月</w:t>
            </w:r>
            <w:r>
              <w:rPr>
                <w:rFonts w:hint="eastAsia" w:ascii="宋体" w:hAnsi="宋体" w:cs="宋体"/>
                <w:b w:val="0"/>
                <w:bCs/>
                <w:color w:val="auto"/>
                <w:kern w:val="2"/>
                <w:sz w:val="21"/>
                <w:szCs w:val="21"/>
                <w:highlight w:val="none"/>
                <w:u w:val="single"/>
                <w:shd w:val="clear"/>
                <w:lang w:val="en-US" w:eastAsia="zh-CN" w:bidi="ar"/>
              </w:rPr>
              <w:t>11</w:t>
            </w:r>
            <w:r>
              <w:rPr>
                <w:rFonts w:hint="eastAsia" w:ascii="宋体" w:hAnsi="宋体" w:eastAsia="宋体" w:cs="宋体"/>
                <w:b w:val="0"/>
                <w:bCs/>
                <w:color w:val="auto"/>
                <w:kern w:val="2"/>
                <w:sz w:val="21"/>
                <w:szCs w:val="21"/>
                <w:highlight w:val="none"/>
                <w:u w:val="single"/>
                <w:shd w:val="clear"/>
                <w:lang w:val="en-US" w:eastAsia="zh-CN" w:bidi="ar"/>
              </w:rPr>
              <w:t>日</w:t>
            </w:r>
            <w:r>
              <w:rPr>
                <w:rFonts w:hint="eastAsia" w:ascii="宋体" w:hAnsi="宋体" w:cs="宋体"/>
                <w:b w:val="0"/>
                <w:bCs/>
                <w:color w:val="auto"/>
                <w:kern w:val="2"/>
                <w:sz w:val="21"/>
                <w:szCs w:val="21"/>
                <w:highlight w:val="none"/>
                <w:u w:val="single"/>
                <w:shd w:val="clear"/>
                <w:lang w:val="en-US" w:eastAsia="zh-CN" w:bidi="ar"/>
              </w:rPr>
              <w:t>11时30分</w:t>
            </w:r>
            <w:r>
              <w:rPr>
                <w:rFonts w:hint="eastAsia" w:ascii="宋体" w:hAnsi="宋体" w:eastAsia="宋体" w:cs="宋体"/>
                <w:b w:val="0"/>
                <w:bCs/>
                <w:color w:val="auto"/>
                <w:kern w:val="2"/>
                <w:sz w:val="21"/>
                <w:szCs w:val="21"/>
                <w:highlight w:val="none"/>
                <w:u w:val="single"/>
                <w:shd w:val="clear"/>
                <w:lang w:val="en-US" w:eastAsia="zh-CN" w:bidi="ar"/>
              </w:rPr>
              <w:t>前</w:t>
            </w:r>
          </w:p>
        </w:tc>
      </w:tr>
      <w:tr w14:paraId="2F57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noWrap w:val="0"/>
            <w:vAlign w:val="center"/>
          </w:tcPr>
          <w:p w14:paraId="05D7A8B6">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26.3</w:t>
            </w:r>
          </w:p>
        </w:tc>
        <w:tc>
          <w:tcPr>
            <w:tcW w:w="1701" w:type="dxa"/>
            <w:noWrap w:val="0"/>
            <w:vAlign w:val="center"/>
          </w:tcPr>
          <w:p w14:paraId="37441DB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联系方式</w:t>
            </w:r>
          </w:p>
        </w:tc>
        <w:tc>
          <w:tcPr>
            <w:tcW w:w="6487" w:type="dxa"/>
            <w:noWrap w:val="0"/>
            <w:vAlign w:val="center"/>
          </w:tcPr>
          <w:p w14:paraId="15BF8F1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接收询问和质疑的联系方式</w:t>
            </w:r>
            <w:r>
              <w:rPr>
                <w:rFonts w:hint="eastAsia" w:ascii="宋体" w:hAnsi="宋体" w:cs="宋体"/>
                <w:b w:val="0"/>
                <w:bCs/>
                <w:color w:val="auto"/>
                <w:sz w:val="21"/>
                <w:szCs w:val="21"/>
                <w:highlight w:val="none"/>
                <w:lang w:eastAsia="zh-CN"/>
              </w:rPr>
              <w:t>：</w:t>
            </w:r>
          </w:p>
          <w:p w14:paraId="1FCDCF8F">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联系部门：</w:t>
            </w:r>
            <w:r>
              <w:rPr>
                <w:rFonts w:hint="eastAsia" w:ascii="宋体" w:hAnsi="宋体" w:cs="宋体"/>
                <w:b w:val="0"/>
                <w:bCs/>
                <w:color w:val="auto"/>
                <w:sz w:val="21"/>
                <w:szCs w:val="21"/>
                <w:highlight w:val="none"/>
                <w:u w:val="single"/>
                <w:lang w:val="en-US" w:eastAsia="zh-CN"/>
              </w:rPr>
              <w:t>常州青枫招标有限公司</w:t>
            </w:r>
            <w:r>
              <w:rPr>
                <w:rFonts w:hint="eastAsia" w:ascii="宋体" w:hAnsi="宋体" w:eastAsia="宋体" w:cs="宋体"/>
                <w:b w:val="0"/>
                <w:bCs/>
                <w:color w:val="auto"/>
                <w:sz w:val="21"/>
                <w:szCs w:val="21"/>
                <w:highlight w:val="none"/>
                <w:u w:val="single"/>
                <w:lang w:val="en-US" w:eastAsia="zh-CN"/>
              </w:rPr>
              <w:t>、</w:t>
            </w:r>
            <w:r>
              <w:rPr>
                <w:rFonts w:hint="eastAsia" w:ascii="宋体" w:hAnsi="宋体" w:cs="宋体"/>
                <w:b w:val="0"/>
                <w:bCs/>
                <w:color w:val="auto"/>
                <w:sz w:val="21"/>
                <w:szCs w:val="21"/>
                <w:highlight w:val="none"/>
                <w:u w:val="single"/>
                <w:lang w:eastAsia="zh-CN"/>
              </w:rPr>
              <w:t>常州市</w:t>
            </w:r>
            <w:bookmarkStart w:id="9" w:name="_GoBack"/>
            <w:bookmarkEnd w:id="9"/>
            <w:r>
              <w:rPr>
                <w:rFonts w:hint="eastAsia" w:ascii="宋体" w:hAnsi="宋体" w:cs="宋体"/>
                <w:b w:val="0"/>
                <w:bCs/>
                <w:color w:val="auto"/>
                <w:sz w:val="21"/>
                <w:szCs w:val="21"/>
                <w:highlight w:val="none"/>
                <w:u w:val="single"/>
                <w:lang w:eastAsia="zh-CN"/>
              </w:rPr>
              <w:t>钟楼区机关事务管理中心</w:t>
            </w:r>
            <w:r>
              <w:rPr>
                <w:rFonts w:hint="eastAsia" w:ascii="宋体" w:hAnsi="宋体" w:eastAsia="宋体" w:cs="宋体"/>
                <w:b w:val="0"/>
                <w:bCs/>
                <w:color w:val="auto"/>
                <w:sz w:val="21"/>
                <w:szCs w:val="21"/>
                <w:highlight w:val="none"/>
              </w:rPr>
              <w:t>；</w:t>
            </w:r>
          </w:p>
          <w:p w14:paraId="44B5B798">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联系电话：</w:t>
            </w:r>
            <w:r>
              <w:rPr>
                <w:rFonts w:hint="eastAsia" w:ascii="宋体" w:hAnsi="宋体" w:eastAsia="宋体" w:cs="宋体"/>
                <w:b w:val="0"/>
                <w:bCs/>
                <w:color w:val="auto"/>
                <w:sz w:val="21"/>
                <w:szCs w:val="21"/>
                <w:highlight w:val="none"/>
                <w:u w:val="single"/>
              </w:rPr>
              <w:t>0519-88119558</w:t>
            </w:r>
            <w:r>
              <w:rPr>
                <w:rFonts w:hint="eastAsia" w:ascii="宋体" w:hAnsi="宋体" w:eastAsia="宋体" w:cs="宋体"/>
                <w:b w:val="0"/>
                <w:bCs/>
                <w:color w:val="auto"/>
                <w:sz w:val="21"/>
                <w:szCs w:val="21"/>
                <w:highlight w:val="none"/>
                <w:u w:val="single"/>
                <w:shd w:val="clear"/>
                <w:lang w:val="en-US" w:eastAsia="zh-CN"/>
              </w:rPr>
              <w:t>、</w:t>
            </w:r>
            <w:r>
              <w:rPr>
                <w:rFonts w:hint="eastAsia" w:ascii="宋体" w:hAnsi="宋体" w:eastAsia="宋体" w:cs="宋体"/>
                <w:color w:val="auto"/>
                <w:highlight w:val="none"/>
                <w:u w:val="single"/>
              </w:rPr>
              <w:t>0519-88890366</w:t>
            </w:r>
            <w:r>
              <w:rPr>
                <w:rFonts w:hint="eastAsia" w:ascii="宋体" w:hAnsi="宋体" w:eastAsia="宋体" w:cs="宋体"/>
                <w:b w:val="0"/>
                <w:bCs/>
                <w:color w:val="auto"/>
                <w:sz w:val="21"/>
                <w:szCs w:val="21"/>
                <w:highlight w:val="none"/>
                <w:shd w:val="clear"/>
              </w:rPr>
              <w:t>；</w:t>
            </w:r>
          </w:p>
          <w:p w14:paraId="3806A6F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通讯地址：</w:t>
            </w:r>
            <w:r>
              <w:rPr>
                <w:rFonts w:hint="eastAsia" w:ascii="宋体" w:hAnsi="宋体" w:eastAsia="宋体" w:cs="宋体"/>
                <w:b w:val="0"/>
                <w:bCs/>
                <w:color w:val="auto"/>
                <w:sz w:val="21"/>
                <w:szCs w:val="21"/>
                <w:highlight w:val="none"/>
                <w:u w:val="single"/>
              </w:rPr>
              <w:t>常州市钟楼区运河路198号博济新博智汇谷</w:t>
            </w:r>
            <w:r>
              <w:rPr>
                <w:rFonts w:hint="eastAsia" w:ascii="宋体" w:hAnsi="宋体" w:eastAsia="宋体" w:cs="宋体"/>
                <w:b w:val="0"/>
                <w:bCs/>
                <w:color w:val="auto"/>
                <w:sz w:val="21"/>
                <w:szCs w:val="21"/>
                <w:highlight w:val="none"/>
                <w:u w:val="single"/>
                <w:lang w:val="en-US" w:eastAsia="zh-CN"/>
              </w:rPr>
              <w:t>5</w:t>
            </w:r>
            <w:r>
              <w:rPr>
                <w:rFonts w:hint="eastAsia" w:ascii="宋体" w:hAnsi="宋体" w:eastAsia="宋体" w:cs="宋体"/>
                <w:b w:val="0"/>
                <w:bCs/>
                <w:color w:val="auto"/>
                <w:sz w:val="21"/>
                <w:szCs w:val="21"/>
                <w:highlight w:val="none"/>
                <w:u w:val="single"/>
              </w:rPr>
              <w:t>栋</w:t>
            </w:r>
            <w:r>
              <w:rPr>
                <w:rFonts w:hint="eastAsia" w:ascii="宋体" w:hAnsi="宋体" w:eastAsia="宋体" w:cs="宋体"/>
                <w:b w:val="0"/>
                <w:bCs/>
                <w:color w:val="auto"/>
                <w:sz w:val="21"/>
                <w:szCs w:val="21"/>
                <w:highlight w:val="none"/>
                <w:u w:val="single"/>
                <w:lang w:val="en-US" w:eastAsia="zh-CN"/>
              </w:rPr>
              <w:t>202</w:t>
            </w:r>
            <w:r>
              <w:rPr>
                <w:rFonts w:hint="eastAsia" w:ascii="宋体" w:hAnsi="宋体" w:eastAsia="宋体" w:cs="宋体"/>
                <w:b w:val="0"/>
                <w:bCs/>
                <w:color w:val="auto"/>
                <w:sz w:val="21"/>
                <w:szCs w:val="21"/>
                <w:highlight w:val="none"/>
                <w:u w:val="single"/>
              </w:rPr>
              <w:t>室</w:t>
            </w:r>
            <w:r>
              <w:rPr>
                <w:rFonts w:hint="eastAsia" w:ascii="宋体" w:hAnsi="宋体" w:eastAsia="宋体" w:cs="宋体"/>
                <w:b w:val="0"/>
                <w:bCs/>
                <w:color w:val="auto"/>
                <w:sz w:val="21"/>
                <w:szCs w:val="21"/>
                <w:highlight w:val="none"/>
                <w:u w:val="single"/>
                <w:lang w:eastAsia="zh-CN"/>
              </w:rPr>
              <w:t>、</w:t>
            </w:r>
            <w:r>
              <w:rPr>
                <w:rFonts w:hint="eastAsia" w:ascii="宋体" w:hAnsi="宋体" w:eastAsia="宋体" w:cs="宋体"/>
                <w:b w:val="0"/>
                <w:bCs/>
                <w:color w:val="auto"/>
                <w:sz w:val="21"/>
                <w:szCs w:val="21"/>
                <w:highlight w:val="none"/>
                <w:u w:val="single"/>
              </w:rPr>
              <w:t>常州市钟楼区星港路88号3楼</w:t>
            </w:r>
            <w:r>
              <w:rPr>
                <w:rFonts w:hint="eastAsia" w:ascii="宋体" w:hAnsi="宋体" w:eastAsia="宋体" w:cs="宋体"/>
                <w:b w:val="0"/>
                <w:bCs/>
                <w:color w:val="auto"/>
                <w:sz w:val="21"/>
                <w:szCs w:val="21"/>
                <w:highlight w:val="none"/>
                <w:u w:val="none"/>
                <w:lang w:eastAsia="zh-CN"/>
              </w:rPr>
              <w:t>。</w:t>
            </w:r>
          </w:p>
        </w:tc>
      </w:tr>
      <w:tr w14:paraId="342C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jc w:val="center"/>
        </w:trPr>
        <w:tc>
          <w:tcPr>
            <w:tcW w:w="988" w:type="dxa"/>
            <w:vMerge w:val="restart"/>
            <w:tcBorders>
              <w:top w:val="single" w:color="auto" w:sz="4" w:space="0"/>
              <w:left w:val="single" w:color="auto" w:sz="4" w:space="0"/>
              <w:right w:val="single" w:color="auto" w:sz="4" w:space="0"/>
            </w:tcBorders>
            <w:noWrap w:val="0"/>
            <w:vAlign w:val="center"/>
          </w:tcPr>
          <w:p w14:paraId="528D98BB">
            <w:pPr>
              <w:pStyle w:val="11"/>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27</w:t>
            </w:r>
          </w:p>
        </w:tc>
        <w:tc>
          <w:tcPr>
            <w:tcW w:w="1701" w:type="dxa"/>
            <w:vMerge w:val="restart"/>
            <w:tcBorders>
              <w:top w:val="single" w:color="auto" w:sz="4" w:space="0"/>
              <w:left w:val="single" w:color="auto" w:sz="4" w:space="0"/>
              <w:right w:val="single" w:color="auto" w:sz="4" w:space="0"/>
            </w:tcBorders>
            <w:shd w:val="clear" w:color="auto" w:fill="auto"/>
            <w:noWrap w:val="0"/>
            <w:vAlign w:val="center"/>
          </w:tcPr>
          <w:p w14:paraId="07D6CA1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代理费</w:t>
            </w:r>
          </w:p>
        </w:tc>
        <w:tc>
          <w:tcPr>
            <w:tcW w:w="64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A1E01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收费对象：</w:t>
            </w:r>
          </w:p>
          <w:p w14:paraId="48BF6A4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□采购人</w:t>
            </w:r>
          </w:p>
          <w:p w14:paraId="50BBFCA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■中标人</w:t>
            </w:r>
          </w:p>
          <w:p w14:paraId="738D98E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rPr>
            </w:pPr>
            <w:r>
              <w:rPr>
                <w:rFonts w:hint="eastAsia" w:ascii="宋体" w:hAnsi="宋体" w:eastAsia="宋体" w:cs="宋体"/>
                <w:b w:val="0"/>
                <w:bCs/>
                <w:color w:val="auto"/>
                <w:sz w:val="21"/>
                <w:szCs w:val="21"/>
                <w:highlight w:val="none"/>
              </w:rPr>
              <w:t>收费标准：</w:t>
            </w:r>
            <w:r>
              <w:rPr>
                <w:rFonts w:hint="eastAsia" w:ascii="宋体" w:hAnsi="宋体" w:eastAsia="宋体" w:cs="宋体"/>
                <w:b w:val="0"/>
                <w:bCs/>
                <w:color w:val="auto"/>
                <w:sz w:val="21"/>
                <w:szCs w:val="21"/>
                <w:highlight w:val="none"/>
                <w:u w:val="single"/>
                <w:lang w:val="en-US" w:eastAsia="zh-CN"/>
              </w:rPr>
              <w:t>以</w:t>
            </w:r>
            <w:r>
              <w:rPr>
                <w:rFonts w:hint="eastAsia" w:ascii="宋体" w:hAnsi="宋体" w:cs="宋体"/>
                <w:b w:val="0"/>
                <w:bCs/>
                <w:color w:val="auto"/>
                <w:sz w:val="21"/>
                <w:szCs w:val="21"/>
                <w:highlight w:val="none"/>
                <w:u w:val="single"/>
                <w:lang w:val="en-US" w:eastAsia="zh-CN"/>
              </w:rPr>
              <w:t>中标</w:t>
            </w:r>
            <w:r>
              <w:rPr>
                <w:rFonts w:hint="eastAsia" w:ascii="宋体" w:hAnsi="宋体" w:eastAsia="宋体" w:cs="宋体"/>
                <w:b w:val="0"/>
                <w:bCs/>
                <w:color w:val="auto"/>
                <w:sz w:val="21"/>
                <w:szCs w:val="21"/>
                <w:highlight w:val="none"/>
                <w:u w:val="single"/>
                <w:lang w:val="en-US" w:eastAsia="zh-CN"/>
              </w:rPr>
              <w:t>金额为基数，收费比例按差额定率累进法计算：100万元（含）以下费率1.5%，100万元（不含）-500万元（含）费率0.8%，500万元（不含）-1000万元（含）费率0.45%；如按上述方法计算的金额低于人民币3000元，则按人民币3000元计取。</w:t>
            </w:r>
          </w:p>
        </w:tc>
      </w:tr>
      <w:tr w14:paraId="0064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988" w:type="dxa"/>
            <w:vMerge w:val="continue"/>
            <w:tcBorders>
              <w:left w:val="single" w:color="auto" w:sz="4" w:space="0"/>
              <w:right w:val="single" w:color="auto" w:sz="4" w:space="0"/>
            </w:tcBorders>
            <w:noWrap w:val="0"/>
            <w:vAlign w:val="center"/>
          </w:tcPr>
          <w:p w14:paraId="2285DC24">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default"/>
              </w:rPr>
            </w:pPr>
          </w:p>
        </w:tc>
        <w:tc>
          <w:tcPr>
            <w:tcW w:w="1701" w:type="dxa"/>
            <w:vMerge w:val="continue"/>
            <w:tcBorders>
              <w:left w:val="single" w:color="auto" w:sz="4" w:space="0"/>
              <w:right w:val="single" w:color="auto" w:sz="4" w:space="0"/>
            </w:tcBorders>
            <w:shd w:val="clear" w:color="auto" w:fill="auto"/>
            <w:noWrap w:val="0"/>
            <w:vAlign w:val="center"/>
          </w:tcPr>
          <w:p w14:paraId="06E5C61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default"/>
              </w:rPr>
            </w:pPr>
          </w:p>
        </w:tc>
        <w:tc>
          <w:tcPr>
            <w:tcW w:w="64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33560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收取方式：银行电汇或转账</w:t>
            </w:r>
          </w:p>
          <w:p w14:paraId="58164474">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default" w:ascii="宋体" w:hAnsi="宋体" w:eastAsia="宋体" w:cs="宋体"/>
                <w:b w:val="0"/>
                <w:bCs/>
                <w:color w:val="auto"/>
                <w:sz w:val="21"/>
                <w:szCs w:val="21"/>
                <w:highlight w:val="none"/>
                <w:u w:val="single"/>
                <w:lang w:val="en-US" w:eastAsia="zh-CN" w:bidi="ar"/>
              </w:rPr>
            </w:pPr>
            <w:r>
              <w:rPr>
                <w:rFonts w:hint="eastAsia" w:ascii="宋体" w:hAnsi="宋体" w:eastAsia="宋体" w:cs="宋体"/>
                <w:b w:val="0"/>
                <w:bCs/>
                <w:color w:val="auto"/>
                <w:sz w:val="21"/>
                <w:szCs w:val="21"/>
                <w:highlight w:val="none"/>
                <w:lang w:val="en-US" w:eastAsia="zh-CN"/>
              </w:rPr>
              <w:t>收款单位：</w:t>
            </w:r>
            <w:r>
              <w:rPr>
                <w:rFonts w:hint="eastAsia" w:ascii="宋体" w:hAnsi="宋体" w:eastAsia="宋体" w:cs="宋体"/>
                <w:b w:val="0"/>
                <w:bCs/>
                <w:color w:val="auto"/>
                <w:sz w:val="21"/>
                <w:szCs w:val="21"/>
                <w:highlight w:val="none"/>
                <w:u w:val="single"/>
                <w:lang w:val="en-US" w:eastAsia="zh-CN" w:bidi="ar"/>
              </w:rPr>
              <w:t xml:space="preserve">常州青枫招标有限公司              </w:t>
            </w:r>
            <w:r>
              <w:rPr>
                <w:rFonts w:hint="eastAsia" w:ascii="宋体" w:hAnsi="宋体" w:cs="宋体"/>
                <w:b w:val="0"/>
                <w:bCs/>
                <w:color w:val="auto"/>
                <w:sz w:val="21"/>
                <w:szCs w:val="21"/>
                <w:highlight w:val="none"/>
                <w:u w:val="single"/>
                <w:lang w:val="en-US" w:eastAsia="zh-CN" w:bidi="ar"/>
              </w:rPr>
              <w:t xml:space="preserve"> </w:t>
            </w:r>
          </w:p>
          <w:p w14:paraId="6FC2D5D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u w:val="single"/>
                <w:lang w:val="en-US" w:eastAsia="zh-CN" w:bidi="ar"/>
              </w:rPr>
            </w:pPr>
            <w:r>
              <w:rPr>
                <w:rFonts w:hint="eastAsia" w:ascii="宋体" w:hAnsi="宋体" w:eastAsia="宋体" w:cs="宋体"/>
                <w:b w:val="0"/>
                <w:bCs/>
                <w:color w:val="auto"/>
                <w:sz w:val="21"/>
                <w:szCs w:val="21"/>
                <w:highlight w:val="none"/>
                <w:lang w:val="en-US" w:eastAsia="zh-CN"/>
              </w:rPr>
              <w:t>收款银行：</w:t>
            </w:r>
            <w:r>
              <w:rPr>
                <w:rFonts w:hint="eastAsia" w:ascii="宋体" w:hAnsi="宋体" w:eastAsia="宋体" w:cs="宋体"/>
                <w:b w:val="0"/>
                <w:bCs/>
                <w:color w:val="auto"/>
                <w:sz w:val="21"/>
                <w:szCs w:val="21"/>
                <w:highlight w:val="none"/>
                <w:u w:val="single"/>
                <w:lang w:val="en-US" w:eastAsia="zh-CN" w:bidi="ar"/>
              </w:rPr>
              <w:t xml:space="preserve">中信银行常州分行营业部             </w:t>
            </w:r>
          </w:p>
          <w:p w14:paraId="2F2E3D8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lang w:val="en-US" w:eastAsia="zh-CN"/>
              </w:rPr>
              <w:t>银行账号：</w:t>
            </w:r>
            <w:r>
              <w:rPr>
                <w:rFonts w:hint="eastAsia" w:ascii="宋体" w:hAnsi="宋体" w:eastAsia="宋体" w:cs="宋体"/>
                <w:b w:val="0"/>
                <w:bCs/>
                <w:color w:val="auto"/>
                <w:sz w:val="21"/>
                <w:szCs w:val="21"/>
                <w:highlight w:val="none"/>
                <w:u w:val="single"/>
                <w:lang w:val="en-US" w:eastAsia="zh-CN" w:bidi="ar"/>
              </w:rPr>
              <w:t xml:space="preserve">811 0501 0121 0099 2840            </w:t>
            </w:r>
          </w:p>
          <w:p w14:paraId="6E87EC1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缴纳时间：</w:t>
            </w:r>
            <w:r>
              <w:rPr>
                <w:rFonts w:hint="eastAsia" w:ascii="宋体" w:hAnsi="宋体" w:eastAsia="宋体" w:cs="宋体"/>
                <w:b w:val="0"/>
                <w:bCs/>
                <w:color w:val="auto"/>
                <w:sz w:val="21"/>
                <w:szCs w:val="21"/>
                <w:highlight w:val="none"/>
                <w:u w:val="single"/>
                <w:lang w:val="en-US" w:eastAsia="zh-CN"/>
              </w:rPr>
              <w:t>中标（成交）通知书发出之日起</w:t>
            </w:r>
            <w:r>
              <w:rPr>
                <w:rFonts w:hint="eastAsia" w:ascii="宋体" w:hAnsi="宋体" w:cs="宋体"/>
                <w:b w:val="0"/>
                <w:bCs/>
                <w:color w:val="auto"/>
                <w:sz w:val="21"/>
                <w:szCs w:val="21"/>
                <w:highlight w:val="none"/>
                <w:u w:val="single"/>
                <w:lang w:val="en-US" w:eastAsia="zh-CN"/>
              </w:rPr>
              <w:t>30</w:t>
            </w:r>
            <w:r>
              <w:rPr>
                <w:rFonts w:hint="eastAsia" w:ascii="宋体" w:hAnsi="宋体" w:eastAsia="宋体" w:cs="宋体"/>
                <w:b w:val="0"/>
                <w:bCs/>
                <w:color w:val="auto"/>
                <w:sz w:val="21"/>
                <w:szCs w:val="21"/>
                <w:highlight w:val="none"/>
                <w:u w:val="single"/>
                <w:lang w:val="en-US" w:eastAsia="zh-CN"/>
              </w:rPr>
              <w:t>日内</w:t>
            </w:r>
            <w:r>
              <w:rPr>
                <w:rFonts w:hint="eastAsia" w:ascii="宋体" w:hAnsi="宋体" w:eastAsia="宋体" w:cs="宋体"/>
                <w:b w:val="0"/>
                <w:bCs/>
                <w:color w:val="auto"/>
                <w:sz w:val="21"/>
                <w:szCs w:val="21"/>
                <w:highlight w:val="none"/>
              </w:rPr>
              <w:t>。</w:t>
            </w:r>
          </w:p>
        </w:tc>
      </w:tr>
      <w:tr w14:paraId="355D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988" w:type="dxa"/>
            <w:vMerge w:val="continue"/>
            <w:tcBorders>
              <w:left w:val="single" w:color="auto" w:sz="4" w:space="0"/>
              <w:bottom w:val="single" w:color="auto" w:sz="4" w:space="0"/>
              <w:right w:val="single" w:color="auto" w:sz="4" w:space="0"/>
            </w:tcBorders>
            <w:noWrap w:val="0"/>
            <w:vAlign w:val="center"/>
          </w:tcPr>
          <w:p w14:paraId="68A6100F">
            <w:pPr>
              <w:pStyle w:val="8"/>
              <w:keepNext w:val="0"/>
              <w:keepLines w:val="0"/>
              <w:pageBreakBefore w:val="0"/>
              <w:widowControl w:val="0"/>
              <w:suppressLineNumbers w:val="0"/>
              <w:kinsoku/>
              <w:wordWrap/>
              <w:overflowPunct/>
              <w:topLinePunct/>
              <w:autoSpaceDE/>
              <w:autoSpaceDN/>
              <w:bidi w:val="0"/>
              <w:adjustRightInd w:val="0"/>
              <w:snapToGrid w:val="0"/>
              <w:spacing w:beforeAutospacing="0" w:after="0" w:afterAutospacing="0"/>
              <w:ind w:left="0" w:right="0"/>
              <w:rPr>
                <w:rFonts w:hint="default"/>
              </w:rPr>
            </w:pPr>
          </w:p>
        </w:tc>
        <w:tc>
          <w:tcPr>
            <w:tcW w:w="1701" w:type="dxa"/>
            <w:vMerge w:val="continue"/>
            <w:tcBorders>
              <w:left w:val="single" w:color="auto" w:sz="4" w:space="0"/>
              <w:bottom w:val="single" w:color="auto" w:sz="4" w:space="0"/>
              <w:right w:val="single" w:color="auto" w:sz="4" w:space="0"/>
            </w:tcBorders>
            <w:shd w:val="clear" w:color="auto" w:fill="auto"/>
            <w:noWrap w:val="0"/>
            <w:vAlign w:val="center"/>
          </w:tcPr>
          <w:p w14:paraId="4C66AC5F">
            <w:pPr>
              <w:pStyle w:val="8"/>
              <w:keepNext w:val="0"/>
              <w:keepLines w:val="0"/>
              <w:pageBreakBefore w:val="0"/>
              <w:widowControl w:val="0"/>
              <w:suppressLineNumbers w:val="0"/>
              <w:kinsoku/>
              <w:wordWrap/>
              <w:overflowPunct/>
              <w:topLinePunct/>
              <w:autoSpaceDE/>
              <w:autoSpaceDN/>
              <w:bidi w:val="0"/>
              <w:adjustRightInd w:val="0"/>
              <w:snapToGrid w:val="0"/>
              <w:spacing w:beforeAutospacing="0" w:after="0" w:afterAutospacing="0"/>
              <w:ind w:left="0" w:right="0"/>
              <w:rPr>
                <w:rFonts w:hint="default"/>
              </w:rPr>
            </w:pPr>
          </w:p>
        </w:tc>
        <w:tc>
          <w:tcPr>
            <w:tcW w:w="648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9F2715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both"/>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代理费用支付说明及原因：</w:t>
            </w:r>
          </w:p>
          <w:p w14:paraId="1F093E4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both"/>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1.支付依据：根据《政府采购代理机构管理暂行办法》第十五条规定，代理费用可以由成交供应商支付。因采购人预算金额包含代理费，本项目向</w:t>
            </w:r>
            <w:r>
              <w:rPr>
                <w:rFonts w:hint="eastAsia" w:ascii="宋体" w:hAnsi="宋体" w:cs="宋体"/>
                <w:b w:val="0"/>
                <w:bCs/>
                <w:color w:val="auto"/>
                <w:sz w:val="21"/>
                <w:szCs w:val="21"/>
                <w:highlight w:val="none"/>
                <w:lang w:val="en-US" w:eastAsia="zh-CN"/>
              </w:rPr>
              <w:t>中标人</w:t>
            </w:r>
            <w:r>
              <w:rPr>
                <w:rFonts w:hint="eastAsia" w:ascii="宋体" w:hAnsi="宋体" w:eastAsia="宋体" w:cs="宋体"/>
                <w:b w:val="0"/>
                <w:bCs/>
                <w:color w:val="auto"/>
                <w:sz w:val="21"/>
                <w:szCs w:val="21"/>
                <w:highlight w:val="none"/>
              </w:rPr>
              <w:t>收取代理费用。</w:t>
            </w:r>
          </w:p>
          <w:p w14:paraId="587C068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both"/>
              <w:textAlignment w:val="auto"/>
              <w:outlineLvl w:val="9"/>
              <w:rPr>
                <w:rFonts w:hint="eastAsia"/>
              </w:rPr>
            </w:pPr>
            <w:r>
              <w:rPr>
                <w:rFonts w:hint="eastAsia" w:ascii="宋体" w:hAnsi="宋体" w:eastAsia="宋体" w:cs="宋体"/>
                <w:b w:val="0"/>
                <w:bCs/>
                <w:color w:val="auto"/>
                <w:sz w:val="21"/>
                <w:szCs w:val="21"/>
                <w:highlight w:val="none"/>
              </w:rPr>
              <w:t>2.报价要求：</w:t>
            </w:r>
            <w:r>
              <w:rPr>
                <w:rFonts w:hint="eastAsia" w:ascii="宋体" w:hAnsi="宋体" w:cs="宋体"/>
                <w:b w:val="0"/>
                <w:bCs/>
                <w:color w:val="auto"/>
                <w:sz w:val="21"/>
                <w:szCs w:val="21"/>
                <w:highlight w:val="none"/>
                <w:lang w:val="en-US" w:eastAsia="zh-CN"/>
              </w:rPr>
              <w:t>投标人</w:t>
            </w:r>
            <w:r>
              <w:rPr>
                <w:rFonts w:hint="eastAsia" w:ascii="宋体" w:hAnsi="宋体" w:eastAsia="宋体" w:cs="宋体"/>
                <w:b w:val="0"/>
                <w:bCs/>
                <w:color w:val="auto"/>
                <w:sz w:val="21"/>
                <w:szCs w:val="21"/>
                <w:highlight w:val="none"/>
              </w:rPr>
              <w:t>在投标报价时，报价应当包含代理费用。</w:t>
            </w:r>
          </w:p>
        </w:tc>
      </w:tr>
      <w:tr w14:paraId="247F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1F0C5D9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28</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7C94D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center"/>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纸质中标（成交）文件</w:t>
            </w:r>
          </w:p>
        </w:tc>
        <w:tc>
          <w:tcPr>
            <w:tcW w:w="64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5456B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60" w:lineRule="exact"/>
              <w:ind w:left="0" w:right="0"/>
              <w:jc w:val="left"/>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中标人在签订合同前需递交与</w:t>
            </w:r>
            <w:r>
              <w:rPr>
                <w:rFonts w:hint="eastAsia" w:ascii="宋体" w:hAnsi="宋体" w:cs="宋体"/>
                <w:b w:val="0"/>
                <w:bCs/>
                <w:color w:val="auto"/>
                <w:sz w:val="21"/>
                <w:szCs w:val="21"/>
                <w:highlight w:val="none"/>
                <w:lang w:eastAsia="zh-CN"/>
              </w:rPr>
              <w:t>电子投标文件</w:t>
            </w:r>
            <w:r>
              <w:rPr>
                <w:rFonts w:hint="eastAsia" w:ascii="宋体" w:hAnsi="宋体" w:eastAsia="宋体" w:cs="宋体"/>
                <w:b w:val="0"/>
                <w:bCs/>
                <w:color w:val="auto"/>
                <w:sz w:val="21"/>
                <w:szCs w:val="21"/>
                <w:highlight w:val="none"/>
              </w:rPr>
              <w:t>内容一致的</w:t>
            </w:r>
            <w:r>
              <w:rPr>
                <w:rFonts w:hint="eastAsia" w:ascii="宋体" w:hAnsi="宋体" w:cs="宋体"/>
                <w:b w:val="0"/>
                <w:bCs/>
                <w:color w:val="auto"/>
                <w:sz w:val="21"/>
                <w:szCs w:val="21"/>
                <w:highlight w:val="none"/>
                <w:lang w:eastAsia="zh-CN"/>
              </w:rPr>
              <w:t>纸质投标文件</w:t>
            </w:r>
            <w:r>
              <w:rPr>
                <w:rFonts w:hint="eastAsia" w:ascii="宋体" w:hAnsi="宋体" w:cs="宋体"/>
                <w:b w:val="0"/>
                <w:bCs/>
                <w:color w:val="auto"/>
                <w:sz w:val="21"/>
                <w:szCs w:val="21"/>
                <w:highlight w:val="none"/>
                <w:lang w:val="en-US" w:eastAsia="zh-CN"/>
              </w:rPr>
              <w:t>叁</w:t>
            </w:r>
            <w:r>
              <w:rPr>
                <w:rFonts w:hint="eastAsia" w:ascii="宋体" w:hAnsi="宋体" w:eastAsia="宋体" w:cs="宋体"/>
                <w:b w:val="0"/>
                <w:bCs/>
                <w:color w:val="auto"/>
                <w:sz w:val="21"/>
                <w:szCs w:val="21"/>
                <w:highlight w:val="none"/>
              </w:rPr>
              <w:t>份（装订或胶装，封面加盖中标人公章、法定代表人名章鲜章，侧边加盖骑缝公章鲜章），</w:t>
            </w:r>
            <w:r>
              <w:rPr>
                <w:rFonts w:hint="eastAsia" w:ascii="宋体" w:hAnsi="宋体" w:cs="宋体"/>
                <w:b w:val="0"/>
                <w:bCs/>
                <w:color w:val="auto"/>
                <w:sz w:val="21"/>
                <w:szCs w:val="21"/>
                <w:highlight w:val="none"/>
                <w:lang w:val="en-US" w:eastAsia="zh-CN"/>
              </w:rPr>
              <w:t>纸质投标文件</w:t>
            </w:r>
            <w:r>
              <w:rPr>
                <w:rFonts w:hint="eastAsia" w:ascii="宋体" w:hAnsi="宋体" w:eastAsia="宋体" w:cs="宋体"/>
                <w:b w:val="0"/>
                <w:bCs/>
                <w:color w:val="auto"/>
                <w:sz w:val="21"/>
                <w:szCs w:val="21"/>
                <w:highlight w:val="none"/>
              </w:rPr>
              <w:t>作为项目归档使用（递交方式可采用邮寄或现场送达至常州青枫招标有限公司，联系方式见《第一章 投标邀请》）。</w:t>
            </w:r>
          </w:p>
        </w:tc>
      </w:tr>
    </w:tbl>
    <w:p w14:paraId="4B602CEE">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4B8A4A">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投标人须知</w:t>
      </w:r>
    </w:p>
    <w:p w14:paraId="21DE6788">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一   说  明</w:t>
      </w:r>
    </w:p>
    <w:p w14:paraId="0A589E7E">
      <w:pPr>
        <w:keepNext w:val="0"/>
        <w:keepLines w:val="0"/>
        <w:pageBreakBefore w:val="0"/>
        <w:widowControl w:val="0"/>
        <w:shd w:val="clear"/>
        <w:kinsoku/>
        <w:wordWrap/>
        <w:overflowPunct/>
        <w:topLinePunct/>
        <w:autoSpaceDE/>
        <w:autoSpaceDN/>
        <w:bidi w:val="0"/>
        <w:adjustRightInd w:val="0"/>
        <w:snapToGrid w:val="0"/>
        <w:spacing w:line="360" w:lineRule="auto"/>
        <w:ind w:right="0" w:rightChars="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采购人、采购代理机构、投标人、联合体</w:t>
      </w:r>
    </w:p>
    <w:p w14:paraId="239FE99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1.1采购人、采购代理机构：指依法进行政府采购的国家机关、事业单位、团体组织，及其委托的采购代理机构。本项目采购人、采购代理机构见第一章《投标邀请》。</w:t>
      </w:r>
    </w:p>
    <w:p w14:paraId="13FEBA8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1.2投标人（也称“供应商”、“申请人”）：指向采购人提供货物、工程或者服务的法人、其他组织或者自然人。</w:t>
      </w:r>
    </w:p>
    <w:p w14:paraId="302636F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1.3联合体：指两个以上的自然人、法人或者其他组织组成一个联合体，以一个</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的身份共同参加政府采购。</w:t>
      </w:r>
    </w:p>
    <w:p w14:paraId="4F6D2B63">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资金来源、项目属性、科研仪器设备采购、核心产品</w:t>
      </w:r>
    </w:p>
    <w:p w14:paraId="3705C28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2.1资金来源为财政性资金和/或本项目采购中无法与财政性资金分割的非财政性资金。</w:t>
      </w:r>
    </w:p>
    <w:p w14:paraId="5C5C711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2.2项目属性见《投标人须知资料表》。</w:t>
      </w:r>
    </w:p>
    <w:p w14:paraId="6ED45A2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2.3是否属于科研仪器设备采购见《投标人须知资料表》。</w:t>
      </w:r>
    </w:p>
    <w:p w14:paraId="37DEEEE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2.4核心产品见《投标人须知资料表》。</w:t>
      </w:r>
    </w:p>
    <w:p w14:paraId="3524BD81">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现场考察、开标前答疑会</w:t>
      </w:r>
    </w:p>
    <w:p w14:paraId="35B11DA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3.1若《投标人须知资料表》中规定了组织现场考察、召开开标前答疑会，则投标人应按要求在规定的时间和地点参加。</w:t>
      </w:r>
    </w:p>
    <w:p w14:paraId="6420712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3.2由于未参加现场考察或开标前答疑会而导致对项目实际情况不了解，影响投标文件编制、投标报价准确性、综合因素响应不全面等问题的，由投标人自行承担不利评审后果。</w:t>
      </w:r>
    </w:p>
    <w:p w14:paraId="38879549">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样品</w:t>
      </w:r>
    </w:p>
    <w:p w14:paraId="23C5CD5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4.1本项目是否要求投标人提供样品，以及样品制作的标准和要求、是否需要随样品提交相关检测报告、样品的递交与退还等要求见《投标人须知资料表》。</w:t>
      </w:r>
    </w:p>
    <w:p w14:paraId="4D7C0CF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4.2样品的评审方法以及评审标准等内容见第四章《评标程序、评标方法和评标标准》。</w:t>
      </w:r>
    </w:p>
    <w:p w14:paraId="7DA6004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政府采购政策（包括但不限于下列具体政策要求）</w:t>
      </w:r>
    </w:p>
    <w:p w14:paraId="14B4D85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5.1进口产品</w:t>
      </w:r>
    </w:p>
    <w:p w14:paraId="2530D4A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52148EA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5.2中小企业、监狱企业及残疾人福利性单位</w:t>
      </w:r>
    </w:p>
    <w:p w14:paraId="438AE2F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5.2.1中小企业定义：</w:t>
      </w:r>
    </w:p>
    <w:p w14:paraId="40639BA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印发中小企业划型标准规定的通知》（工信部联企业〔2011〕300 号）、《国务院关于进一步促进中小企业发展的若干意见》（国发〔2009〕36号）。</w:t>
      </w:r>
    </w:p>
    <w:p w14:paraId="6116BE7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5.2.1.2供应商提供的货物、工程或者服务符合下列情形的，享受中小企业扶持政策：</w:t>
      </w:r>
    </w:p>
    <w:p w14:paraId="71CBEF6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（1）在货物采购项目中，货物由中小企业制造，即货物由中小企业生产且使用该中小企业商号或者注册商标；</w:t>
      </w:r>
    </w:p>
    <w:p w14:paraId="2AF564D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（2）在工程采购项目中，工程由中小企业承建，即工程施工单位为中小企业；</w:t>
      </w:r>
    </w:p>
    <w:p w14:paraId="38E97A8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（3）在服务采购项目中，服务由中小企业承接，即提供服务的人员为中小企业依照《中华人民共和国劳动</w:t>
      </w:r>
      <w:r>
        <w:rPr>
          <w:rFonts w:hint="eastAsia" w:ascii="宋体" w:hAnsi="宋体" w:cs="宋体"/>
          <w:color w:val="auto"/>
          <w:sz w:val="21"/>
          <w:szCs w:val="21"/>
          <w:highlight w:val="none"/>
          <w:lang w:val="en-US" w:eastAsia="zh-CN"/>
        </w:rPr>
        <w:t>合同法</w:t>
      </w:r>
      <w:r>
        <w:rPr>
          <w:rFonts w:hint="eastAsia" w:ascii="宋体" w:hAnsi="宋体" w:eastAsia="宋体" w:cs="宋体"/>
          <w:color w:val="auto"/>
          <w:sz w:val="21"/>
          <w:szCs w:val="21"/>
          <w:highlight w:val="none"/>
        </w:rPr>
        <w:t>》订立劳动合同的从业人员。</w:t>
      </w:r>
    </w:p>
    <w:p w14:paraId="5A69314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5.2.1.3在货物采购项目中，供应商提供的货物既有中小企业制造货物，也有大型企业制造货物的，不享受中小企业扶持政策。</w:t>
      </w:r>
    </w:p>
    <w:p w14:paraId="0E28CD2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5.2.1.4以联合体形式参加政府采购活动，联合体各方均为中小企业的，联合体视同中小企业。其中，联合体各方均为小微企业的，联合体视同小微企业。</w:t>
      </w:r>
    </w:p>
    <w:p w14:paraId="496D18E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C49ED4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5.2.3残疾人福利单位定义：享受政府采购支持政策的残疾人福利性单位应当同时满足以下条件：</w:t>
      </w:r>
    </w:p>
    <w:p w14:paraId="53933A0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5.2.3.1安置的残疾人占本单位在职职工人数的比例不低于25%（含25%），并且安置的残疾人人数不少于10人（含10人）；</w:t>
      </w:r>
    </w:p>
    <w:p w14:paraId="7052FA6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5.2.3.2依法与安置的每位残疾人签订了一年以上（含一年）的劳动合同或服务协议；</w:t>
      </w:r>
    </w:p>
    <w:p w14:paraId="4512ACD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5.2.3.3为安置的每位残疾人按月足额缴纳了基本养老保险、基本医疗保险、失业保险、工伤保险和生育保险等社会保险费；</w:t>
      </w:r>
    </w:p>
    <w:p w14:paraId="4F02931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5.2.3.4通过银行等金融机构向安置的每位残疾人，按月支付了不低于单位所在区县适用的经省级人民政府批准的月最低工资标准的工资；</w:t>
      </w:r>
    </w:p>
    <w:p w14:paraId="5155587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5.2.3.5提供本单位制造的货物、承担的工程或者服务（以下简称产品），或者提供其他残疾人福利性单位制造的货物（不包括使用非残疾人福利性单位注册商标的货物）；</w:t>
      </w:r>
    </w:p>
    <w:p w14:paraId="697AA8C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56EF018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5.2.4本项目是否专门面向中小企业预留采购份额见第一章《投标邀请》。</w:t>
      </w:r>
    </w:p>
    <w:p w14:paraId="03E6691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5.2.5采购标的对应的中小企业划分标准所属行业见《投标人须知资料表》。</w:t>
      </w:r>
    </w:p>
    <w:p w14:paraId="54E0D9E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5.2.6小微企业价格评审优惠的政策调整：见第四章《评标程序、评标方法和评标标准》。</w:t>
      </w:r>
    </w:p>
    <w:p w14:paraId="1D14373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5.3政府采购节能产品、环境标志产品</w:t>
      </w:r>
    </w:p>
    <w:p w14:paraId="6E8FE0A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CE7F0E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386E2A3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5.3.3如本项目采购产品属于实施政府强制采购品目清单范围的节能产品，则投标人所报产品必须获得国家确定的认证机构出具的、处于有效期之内的节能产品认证证书，否则</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w:t>
      </w:r>
    </w:p>
    <w:p w14:paraId="5616214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5.3.4非政府强制采购的节能产品或环境标志产品，依据品目清单和认证证书实施政府优先采购。优先采购的具体规定见第四章《评标程序、评标方法和评标标准》（如涉及）。</w:t>
      </w:r>
    </w:p>
    <w:p w14:paraId="3EA58AA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5.3.5依据《关于印发〈商品包装政府采购需求标准（试行）〉、〈快递包装政府采购需求标准（试行）〉的通知》（财办库〔2020〕123号）文件精神，采购人在采购文件中明确政府采购供应商提供产品及相关快递服务的具体包装要求的，在政府采购合同中载明对政府采购供应商提供产品及相关快递服务的具体包装要求和履约验收相关条款的，</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必须严格执行，必要时应按照要求在履约验收环节出具检测报告。</w:t>
      </w:r>
    </w:p>
    <w:p w14:paraId="5BDB6AC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5.4支持乡村产业振兴管理</w:t>
      </w:r>
    </w:p>
    <w:p w14:paraId="24861E2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5.4.1为落实《关于运用政府采购政策支持乡村产业振兴的通知》（财库〔2021〕19号）有关要求，做好支持脱贫攻坚工作，本项目采购活动中对于支持乡村振兴管理的相关要求见第五章《采购需求》（如涉及）。</w:t>
      </w:r>
    </w:p>
    <w:p w14:paraId="02220CB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5.5正版软件</w:t>
      </w:r>
    </w:p>
    <w:p w14:paraId="05B6653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293B2D8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政府采购创新产品政策</w:t>
      </w:r>
    </w:p>
    <w:p w14:paraId="4C1A104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1采购人要将创新要求嵌入采购项目需求，可在采购文件中设定评审规则，优先采购各级政府部门公开发布的有效期内的创新产品、创新服务、首台套、首购首用等《目录》的创新产品，上述《目录》内创新产品，自认定之日起2年内视同已具备相应销售业绩，参加政府采购活动时业绩分值为满分。（如涉及）</w:t>
      </w:r>
    </w:p>
    <w:p w14:paraId="1C0A843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5.7 绿色采购政策</w:t>
      </w:r>
    </w:p>
    <w:p w14:paraId="123B257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5.7.1绿色数据中心政策</w:t>
      </w:r>
    </w:p>
    <w:p w14:paraId="1F75F9F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依据《绿色数据中心政府采购需求标准（试行）》（财办库〔2023〕7号）文件精神，采购人在采购数据中心相关设备、运维服务，应当有利于节约能源、环境保护和资源循环利用，按照《需求标准》实施相关采购活动。采购人应当加强采购需求管理，根据《需求标准》提出的指标编制数据中心相关设备、运维服务政府采购项目的采购文件，并在合同中明确对相关指标的验收方式和违约责任。采购人应当在履约验收中对供应商提供的产品或服务进行抽查检测，必要时可委托取得相关资质的第三方机构对其进行检测、认证。因检测、认证涉及生产过程或检测时间长等原因，不能在验收过程中开展检测、认证的，可要求供应商在验收阶段提供相关检测报告、认证报告。</w:t>
      </w:r>
    </w:p>
    <w:p w14:paraId="5A22815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5.7.2推广应用绿色建材</w:t>
      </w:r>
    </w:p>
    <w:p w14:paraId="6336C40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采购人实施政府采购工程项目，要按照《常州市政府采购支持绿色建材促进建筑品质提升试点工作方案》（常财购〔2023〕18号）总体要求，落实《绿色建筑和绿色建材政府采购需求标准》（财库〔2022〕35号）和《政府采购支持绿色建材促进建筑品质提升政策项目实施指南》（财办库〔2023〕52号）,依据相关需求标准确定采购需求，在采购文件和采购合同中载明具体需求、履约验收条款和违约责任。</w:t>
      </w:r>
    </w:p>
    <w:p w14:paraId="075AE7A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5.7.3优先使用低挥发性有机化合物产品</w:t>
      </w:r>
    </w:p>
    <w:p w14:paraId="6358401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采购人要落实挥发性有机化合物（VOCs）治理要求，若本项目中涉及涂料、胶黏剂、油墨、清洗剂等挥发性有机物产品的，属于强制性标准的，投标人应当提供符合国家和江苏省相关VOCs含量限制标准的产品；属于推荐性标准的，应当在采购文件中载明低VOCs的优惠幅度、评审标准等，以体现优先采购。</w:t>
      </w:r>
    </w:p>
    <w:p w14:paraId="09F2236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5.8 政府采购中实施本国产品标准及相关政策</w:t>
      </w:r>
    </w:p>
    <w:p w14:paraId="1DF6E34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依据《关于在政府采购中实施本国产品标准及相关政策的通知》（国办发〔2025〕34号）、《财政部 工业和信息化部关于贯彻落实〈国务院办公厅关于在政府采购中实施本国产品标准及相关政策的通知〉的意见》（财库〔2025〕30号）文件要求，采购人应当对符合本国产品标准、适用范围的本国产品，给予本国产品的支持政策。</w:t>
      </w:r>
    </w:p>
    <w:p w14:paraId="32B7B99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5.8.1本国产品标准</w:t>
      </w:r>
    </w:p>
    <w:p w14:paraId="505DE61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本国产品应当符合以下条件：</w:t>
      </w:r>
    </w:p>
    <w:p w14:paraId="7359165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（一）在中国境内生产</w:t>
      </w:r>
    </w:p>
    <w:p w14:paraId="1F092C9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产品应当在中国境内生产，即在中华人民共和国关境内实现从原材料、组件到产品的属性改变。</w:t>
      </w:r>
    </w:p>
    <w:p w14:paraId="4C3CA46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属性改变是指经过制造、加工或者组装等工序，产生完全不同于原材料、组件的新产品，并具有新的名称和特征（用途）。属性改变不包括以下细微操作：</w:t>
      </w:r>
    </w:p>
    <w:p w14:paraId="3E93927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1.为确保产品在运输或者储存期间保持某种状态而进行的操作；</w:t>
      </w:r>
    </w:p>
    <w:p w14:paraId="46B1227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2.为产品运输或者销售进行的包装或者展示；</w:t>
      </w:r>
    </w:p>
    <w:p w14:paraId="2CE0E93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3.在产品或者其包装上粘贴或者印刷品牌、标志、标识以及其他用于区别的标记；</w:t>
      </w:r>
    </w:p>
    <w:p w14:paraId="3037A92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4.简单的上漆、磨光和分装；</w:t>
      </w:r>
    </w:p>
    <w:p w14:paraId="6C9E015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5.其他不属于属性改变的情形。</w:t>
      </w:r>
    </w:p>
    <w:p w14:paraId="7A47250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（二）在中国境内生产的组件成本占比达到规定比例</w:t>
      </w:r>
    </w:p>
    <w:p w14:paraId="642894D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产品在中国境内生产的组件成本占比应当达到规定比例，计算公式为：</w:t>
      </w:r>
    </w:p>
    <w:p w14:paraId="0792555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color w:val="auto"/>
          <w:highlight w:val="none"/>
        </w:rPr>
        <w:drawing>
          <wp:inline distT="0" distB="0" distL="114300" distR="114300">
            <wp:extent cx="2381250" cy="340360"/>
            <wp:effectExtent l="0" t="0" r="635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381250" cy="340360"/>
                    </a:xfrm>
                    <a:prstGeom prst="rect">
                      <a:avLst/>
                    </a:prstGeom>
                    <a:noFill/>
                    <a:ln>
                      <a:noFill/>
                    </a:ln>
                  </pic:spPr>
                </pic:pic>
              </a:graphicData>
            </a:graphic>
          </wp:inline>
        </w:drawing>
      </w:r>
    </w:p>
    <w:p w14:paraId="197A975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AB764D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（三）特定产品的关键组件、关键工序符合相关要求</w:t>
      </w:r>
    </w:p>
    <w:p w14:paraId="3B3AFB2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1F8545D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2CF4BA4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5.8.2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522E1C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5.8.3对本国产品的支持政策：政府采购活动中既有本国产品又有非本国产品参与竞争的，依法对本国产品给予价格评审优惠，对本国产品的报价给予20%的价格扣除，用扣除后的价格参与评审。</w:t>
      </w:r>
    </w:p>
    <w:p w14:paraId="14340FA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0A15BE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default" w:ascii="宋体" w:hAnsi="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5.8.4其他具体详见《关于在政府采购中实施本国产品标准及相关政策的通知》（国办发〔2025〕34号）。</w:t>
      </w:r>
    </w:p>
    <w:p w14:paraId="5C2E7CA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5.9 商品包装和快递包装相关政策</w:t>
      </w:r>
    </w:p>
    <w:p w14:paraId="26C5E2B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项目中如涉及商品包装和快递包装的，其包装需求标准应不低于《关于印发&lt;商品包装政府采购需求标准（试行）&gt;、&lt;快递包装政府采购需求标准（试行）&gt;的通知》（财办库〔2020〕123号）规定的包装要求，如有其他包装需求，详见采购文件技术部分相关章节。</w:t>
      </w:r>
    </w:p>
    <w:p w14:paraId="0961557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5.10 履约保证金相关政策</w:t>
      </w:r>
    </w:p>
    <w:p w14:paraId="4E54964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国家、省、市相关规定，如果采购人根据项目实际情况，确实需要要求中标或者投标人提交履约保证金的，履约保证金的数额不得超过政府采购合同金额的5%，供应商应当以支票、汇票、本票或者金融机构、担保机构出具的保函（保险）等非现金形式提交，鼓励优先采用电子履约保函（保险）的形式。</w:t>
      </w:r>
    </w:p>
    <w:p w14:paraId="037E416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电子履约保函（保险）办理业务流程：江苏省“政府采购电子履约保函（保险）平台”可通过江苏省政府采购网、“苏采云”系统链接访问（https://jsdzbh.com/webSite/bHIndex）。供应商在签订政府采购合同后，登录“政府采购电子履约保函（保险）平台”，选择第三方机构并提交保函（保险）申请，经审核通过后支付相关费用即可。供应商可通过上述平台查询相关保函（保单）信息、理赔信息和开具发票。供应商可登录江苏政府采购网“资料下载”栏目下载“政府采购电子履约保函（保险）操作手册”。</w:t>
      </w:r>
    </w:p>
    <w:p w14:paraId="41D872E3">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投标费用</w:t>
      </w:r>
    </w:p>
    <w:p w14:paraId="7547D7A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6.1投标人应自行承担所有与准备和参加投标有关的费用，无论投标的结果如何，采购人或采购代理机构在任何情况下均无承担这些费用的义务和责任。</w:t>
      </w:r>
    </w:p>
    <w:p w14:paraId="731DB9ED">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招标文件</w:t>
      </w:r>
    </w:p>
    <w:p w14:paraId="0A41B8F7">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招标文件构成</w:t>
      </w:r>
    </w:p>
    <w:p w14:paraId="0F4E4A6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7.1招标文件包括以下部分：</w:t>
      </w:r>
    </w:p>
    <w:p w14:paraId="18B2931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投标邀请</w:t>
      </w:r>
    </w:p>
    <w:p w14:paraId="7221C52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投标人须知</w:t>
      </w:r>
    </w:p>
    <w:p w14:paraId="188F578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资格审查</w:t>
      </w:r>
    </w:p>
    <w:p w14:paraId="605996E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评标程序、评标方法和评标标准</w:t>
      </w:r>
    </w:p>
    <w:p w14:paraId="6AA10E1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采购需求</w:t>
      </w:r>
    </w:p>
    <w:p w14:paraId="14EC4FD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拟签订的合同文本</w:t>
      </w:r>
    </w:p>
    <w:p w14:paraId="1626073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投标文件格式</w:t>
      </w:r>
    </w:p>
    <w:p w14:paraId="3B094C0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7.2投标人应认真阅读招标文件的全部内容。投标人应按照招标文件要求提交投标文件并保证所提供的全部资料的真实性，并对招标文件做出实质性响应，否则</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w:t>
      </w:r>
    </w:p>
    <w:p w14:paraId="1FF88B8C">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对招标文件的澄清或修改</w:t>
      </w:r>
    </w:p>
    <w:p w14:paraId="5A14266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8.1采购人或采购代理机构对已发出的招标文件进行必要澄清或者修改的，将在原公告发布媒体上以发布更正公告的形式通知所有获取招标文件的潜在投标人。</w:t>
      </w:r>
    </w:p>
    <w:p w14:paraId="58199D7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澄清或者修改的内容为招标文件的组成部分，并对所有获取招标文件的潜在投标人具有约束力。澄清或者修改的内容可能影响投标文件编制的，将在投标截止时间至少15日前，以更正公告形式通知所有获取招标文件的潜在投标人；不足15日的，将顺延提交投标文件的截止时间和开标时间。</w:t>
      </w:r>
    </w:p>
    <w:p w14:paraId="6147644C">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   投标文件的编制</w:t>
      </w:r>
    </w:p>
    <w:p w14:paraId="3E7C4BD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9</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投标范围、投标文件中计量单位的使用及投标语言</w:t>
      </w:r>
    </w:p>
    <w:p w14:paraId="2D77BC4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rFonts w:hint="eastAsia" w:ascii="宋体" w:hAnsi="宋体" w:eastAsia="宋体" w:cs="宋体"/>
          <w:b/>
          <w:bCs/>
          <w:color w:val="auto"/>
          <w:sz w:val="21"/>
          <w:szCs w:val="21"/>
          <w:highlight w:val="none"/>
        </w:rPr>
        <w:t>无效投标</w:t>
      </w:r>
      <w:r>
        <w:rPr>
          <w:rFonts w:hint="eastAsia" w:ascii="宋体" w:hAnsi="宋体" w:eastAsia="宋体" w:cs="宋体"/>
          <w:color w:val="auto"/>
          <w:sz w:val="21"/>
          <w:szCs w:val="21"/>
          <w:highlight w:val="none"/>
        </w:rPr>
        <w:t>。</w:t>
      </w:r>
    </w:p>
    <w:p w14:paraId="48D6D48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9.2除招标文件有特殊要求外，本项目投标所使用的计量单位，应采用中华人民共和国法定计量单位。</w:t>
      </w:r>
    </w:p>
    <w:p w14:paraId="2B96734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A89D921">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投标文件构成</w:t>
      </w:r>
    </w:p>
    <w:p w14:paraId="755284F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10.1投标人应当按照招标文件的要求编制投标文件。投标文件应由《资格证明文件》、《商务技术文件》两部分构成。投标文件的部分格式要求，见第七章《投标文件格式》。</w:t>
      </w:r>
    </w:p>
    <w:p w14:paraId="4A3847F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。未标记“实质性格式”的文件和招标文件未提供格式的内容，可由投标人自行编写。</w:t>
      </w:r>
    </w:p>
    <w:p w14:paraId="35A25F0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10.3第四章《评标程序、评标方法和评标标准》中涉及的证明文件。</w:t>
      </w:r>
    </w:p>
    <w:p w14:paraId="68E0299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对照第五章《采购需求》，说明所提供货物和服务已对第五章《采购需求》做出了响应，或申明与第五章《采购需求》的偏差和例外。如第五章《采购需求》中要求提供证明文件的，投标人应当按具体要求提供证明文件。</w:t>
      </w:r>
    </w:p>
    <w:p w14:paraId="2C980D7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10.5投标人认为应附的其他材料。</w:t>
      </w:r>
    </w:p>
    <w:p w14:paraId="4D84DCF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10.6</w:t>
      </w:r>
      <w:r>
        <w:rPr>
          <w:rFonts w:hint="eastAsia" w:ascii="宋体" w:hAnsi="宋体" w:eastAsia="宋体" w:cs="宋体"/>
          <w:b w:val="0"/>
          <w:bCs w:val="0"/>
          <w:color w:val="auto"/>
          <w:sz w:val="21"/>
          <w:szCs w:val="21"/>
          <w:highlight w:val="none"/>
        </w:rPr>
        <w:t>如标书制作工具中格式和内容与“江苏政府采购网、常州市政府采购网”发布的</w:t>
      </w:r>
      <w:r>
        <w:rPr>
          <w:rFonts w:hint="eastAsia" w:ascii="宋体" w:hAnsi="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文件不一致，请以“江苏政府采购网、常州市政府采购网”发布的</w:t>
      </w:r>
      <w:r>
        <w:rPr>
          <w:rFonts w:hint="eastAsia" w:ascii="宋体" w:hAnsi="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文件</w:t>
      </w:r>
      <w:r>
        <w:rPr>
          <w:rFonts w:hint="eastAsia" w:ascii="宋体" w:hAnsi="宋体" w:cs="宋体"/>
          <w:b w:val="0"/>
          <w:bCs w:val="0"/>
          <w:color w:val="auto"/>
          <w:sz w:val="21"/>
          <w:szCs w:val="21"/>
          <w:highlight w:val="none"/>
          <w:lang w:val="en-US" w:eastAsia="zh-CN"/>
        </w:rPr>
        <w:t>内容</w:t>
      </w:r>
      <w:r>
        <w:rPr>
          <w:rFonts w:hint="eastAsia" w:ascii="宋体" w:hAnsi="宋体" w:eastAsia="宋体" w:cs="宋体"/>
          <w:b w:val="0"/>
          <w:bCs w:val="0"/>
          <w:color w:val="auto"/>
          <w:sz w:val="21"/>
          <w:szCs w:val="21"/>
          <w:highlight w:val="none"/>
        </w:rPr>
        <w:t>为准。</w:t>
      </w:r>
      <w:r>
        <w:rPr>
          <w:rFonts w:hint="eastAsia" w:ascii="宋体" w:hAnsi="宋体" w:cs="宋体"/>
          <w:b w:val="0"/>
          <w:bCs w:val="0"/>
          <w:color w:val="auto"/>
          <w:sz w:val="21"/>
          <w:szCs w:val="21"/>
          <w:highlight w:val="none"/>
          <w:lang w:val="en-US" w:eastAsia="zh-CN"/>
        </w:rPr>
        <w:t>如有更正的，投标人应当以更正后的采购文件为准，在标书制作工具中调整相应格式和内容。</w:t>
      </w:r>
    </w:p>
    <w:p w14:paraId="2316A6C6">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投标报价</w:t>
      </w:r>
    </w:p>
    <w:p w14:paraId="2996C68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default" w:ascii="宋体" w:hAnsi="宋体" w:eastAsia="宋体" w:cs="宋体"/>
          <w:b/>
          <w:bCs/>
          <w:color w:val="auto"/>
          <w:sz w:val="21"/>
          <w:szCs w:val="21"/>
          <w:highlight w:val="none"/>
          <w:lang w:val="en-US"/>
        </w:rPr>
      </w:pPr>
      <w:r>
        <w:rPr>
          <w:rFonts w:hint="eastAsia" w:ascii="宋体" w:hAnsi="宋体" w:eastAsia="宋体" w:cs="宋体"/>
          <w:color w:val="auto"/>
          <w:sz w:val="21"/>
          <w:szCs w:val="21"/>
          <w:highlight w:val="none"/>
        </w:rPr>
        <w:t>11.1</w:t>
      </w:r>
      <w:r>
        <w:rPr>
          <w:rFonts w:hint="eastAsia" w:ascii="宋体" w:hAnsi="宋体" w:eastAsia="宋体" w:cs="宋体"/>
          <w:color w:val="auto"/>
          <w:sz w:val="21"/>
          <w:szCs w:val="21"/>
          <w:highlight w:val="none"/>
          <w:lang w:val="en-US" w:eastAsia="zh-CN"/>
        </w:rPr>
        <w:t>投标货币。投标文件中的单价和总价无特殊规定的采用人民币报价，以元为单位标注。招标文件中另有规定的按规定执行</w:t>
      </w:r>
      <w:r>
        <w:rPr>
          <w:rFonts w:hint="eastAsia" w:ascii="宋体" w:hAnsi="宋体" w:cs="宋体"/>
          <w:color w:val="auto"/>
          <w:sz w:val="21"/>
          <w:szCs w:val="21"/>
          <w:highlight w:val="none"/>
          <w:lang w:val="en-US" w:eastAsia="zh-CN"/>
        </w:rPr>
        <w:t>。</w:t>
      </w:r>
    </w:p>
    <w:p w14:paraId="4317261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11.2投标人的报价应包括为完成本项目所发生的一切费用和税费，</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将不再支付报价以外的任何费用。投标人的报价应包括但不限于下列内容，《投标人须知资料表》中有特殊规定的，从其规定。</w:t>
      </w:r>
    </w:p>
    <w:p w14:paraId="77B99A3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11.2.1投标人所报</w:t>
      </w:r>
      <w:r>
        <w:rPr>
          <w:rFonts w:hint="eastAsia" w:ascii="宋体" w:hAnsi="宋体" w:cs="宋体"/>
          <w:color w:val="auto"/>
          <w:sz w:val="21"/>
          <w:szCs w:val="21"/>
          <w:highlight w:val="none"/>
          <w:lang w:val="en-US" w:eastAsia="zh-CN"/>
        </w:rPr>
        <w:t>价格</w:t>
      </w:r>
      <w:r>
        <w:rPr>
          <w:rFonts w:hint="eastAsia" w:ascii="宋体" w:hAnsi="宋体" w:eastAsia="宋体" w:cs="宋体"/>
          <w:color w:val="auto"/>
          <w:sz w:val="21"/>
          <w:szCs w:val="21"/>
          <w:highlight w:val="none"/>
        </w:rPr>
        <w:t>是其所</w:t>
      </w:r>
      <w:r>
        <w:rPr>
          <w:rFonts w:hint="eastAsia" w:ascii="宋体" w:hAnsi="宋体" w:cs="宋体"/>
          <w:color w:val="auto"/>
          <w:sz w:val="21"/>
          <w:szCs w:val="21"/>
          <w:highlight w:val="none"/>
          <w:lang w:val="en-US" w:eastAsia="zh-CN"/>
        </w:rPr>
        <w:t>做本项目</w:t>
      </w:r>
      <w:r>
        <w:rPr>
          <w:rFonts w:hint="eastAsia" w:ascii="宋体" w:hAnsi="宋体" w:eastAsia="宋体" w:cs="宋体"/>
          <w:color w:val="auto"/>
          <w:sz w:val="21"/>
          <w:szCs w:val="21"/>
          <w:highlight w:val="none"/>
        </w:rPr>
        <w:t>结算价格的</w:t>
      </w:r>
      <w:r>
        <w:rPr>
          <w:rFonts w:hint="eastAsia" w:ascii="宋体" w:hAnsi="宋体" w:cs="宋体"/>
          <w:color w:val="auto"/>
          <w:sz w:val="21"/>
          <w:szCs w:val="21"/>
          <w:highlight w:val="none"/>
          <w:lang w:val="en-US" w:eastAsia="zh-CN"/>
        </w:rPr>
        <w:t>总和</w:t>
      </w:r>
      <w:r>
        <w:rPr>
          <w:rFonts w:hint="eastAsia" w:ascii="宋体" w:hAnsi="宋体" w:eastAsia="宋体" w:cs="宋体"/>
          <w:color w:val="auto"/>
          <w:sz w:val="21"/>
          <w:szCs w:val="21"/>
          <w:highlight w:val="none"/>
        </w:rPr>
        <w:t>体现，包括但不限于招标文件及其基本技术要求范围内相应</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前的准备（包括现场踏勘等）、项目服务、人员费用[包括但不限于工资薪金、劳务报酬、离职补偿金、管理费、培训费、加班费（包括全年法定假日、双休日及职工带薪年假加班费）、岗位补贴、高温补贴、员工福利、社会保险、公积金、商业保险、工会费等]</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自有设备设施（含工器具、</w:t>
      </w:r>
      <w:r>
        <w:rPr>
          <w:rFonts w:hint="eastAsia" w:ascii="宋体" w:hAnsi="宋体" w:eastAsia="宋体" w:cs="宋体"/>
          <w:color w:val="auto"/>
          <w:sz w:val="21"/>
          <w:szCs w:val="21"/>
          <w:highlight w:val="none"/>
        </w:rPr>
        <w:t>消耗品、服装、劳保</w:t>
      </w:r>
      <w:r>
        <w:rPr>
          <w:rFonts w:hint="eastAsia" w:ascii="宋体" w:hAnsi="宋体" w:eastAsia="宋体" w:cs="宋体"/>
          <w:color w:val="auto"/>
          <w:sz w:val="21"/>
          <w:szCs w:val="21"/>
          <w:highlight w:val="none"/>
          <w:lang w:val="en-US" w:eastAsia="zh-CN"/>
        </w:rPr>
        <w:t>用品</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维护修理、折旧、办公设备、</w:t>
      </w:r>
      <w:r>
        <w:rPr>
          <w:rFonts w:hint="eastAsia" w:ascii="宋体" w:hAnsi="宋体" w:cs="宋体"/>
          <w:color w:val="auto"/>
          <w:sz w:val="21"/>
          <w:szCs w:val="21"/>
          <w:highlight w:val="none"/>
          <w:lang w:eastAsia="zh-CN"/>
        </w:rPr>
        <w:t>通讯、检验检测、</w:t>
      </w:r>
      <w:r>
        <w:rPr>
          <w:rFonts w:hint="eastAsia" w:ascii="宋体" w:hAnsi="宋体" w:eastAsia="宋体" w:cs="宋体"/>
          <w:color w:val="auto"/>
          <w:sz w:val="21"/>
          <w:szCs w:val="21"/>
          <w:highlight w:val="none"/>
        </w:rPr>
        <w:t>管理、</w:t>
      </w:r>
      <w:r>
        <w:rPr>
          <w:rFonts w:hint="eastAsia" w:ascii="宋体" w:hAnsi="宋体" w:cs="宋体"/>
          <w:color w:val="auto"/>
          <w:sz w:val="21"/>
          <w:szCs w:val="21"/>
          <w:highlight w:val="none"/>
          <w:lang w:val="en-US" w:eastAsia="zh-CN"/>
        </w:rPr>
        <w:t>质保、</w:t>
      </w:r>
      <w:r>
        <w:rPr>
          <w:rFonts w:hint="eastAsia" w:ascii="宋体" w:hAnsi="宋体" w:eastAsia="宋体" w:cs="宋体"/>
          <w:color w:val="auto"/>
          <w:sz w:val="21"/>
          <w:szCs w:val="21"/>
          <w:highlight w:val="none"/>
        </w:rPr>
        <w:t>利润、各种税费、市场价格波动风险因素、政策性文件规定及项目明示或暗示的所有风险、责任、义务等各项应有的费用；上述未列明，但投标人认为所需的其他费用也包含在内，采购人不接受投标人任何因遗漏报价而发生的费用追加和调整，采购人不再向中标人支付其他额外任何费用。同时，除非合同条款中另有规定，否则，投标人所报价格在项目投标、合同实施期间不因市场变化等因素而变动。</w:t>
      </w:r>
    </w:p>
    <w:p w14:paraId="13BAA38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rPr>
      </w:pPr>
      <w:r>
        <w:rPr>
          <w:rFonts w:hint="eastAsia"/>
        </w:rPr>
        <w:t>合同期内若涉及本地区最低工资、社保缴费基数</w:t>
      </w:r>
      <w:r>
        <w:rPr>
          <w:rFonts w:hint="eastAsia"/>
          <w:lang w:eastAsia="zh-CN"/>
        </w:rPr>
        <w:t>、</w:t>
      </w:r>
      <w:r>
        <w:rPr>
          <w:rFonts w:hint="eastAsia"/>
          <w:lang w:val="en-US" w:eastAsia="zh-CN"/>
        </w:rPr>
        <w:t>住房公积金基数</w:t>
      </w:r>
      <w:r>
        <w:rPr>
          <w:rFonts w:hint="eastAsia"/>
        </w:rPr>
        <w:t>等上调，投标人应按政策要求保障人员相关法定待遇，涉及到工资差额、固定岗位工资差额、假日工资差额、社保差额部分</w:t>
      </w:r>
      <w:r>
        <w:rPr>
          <w:rFonts w:hint="eastAsia"/>
          <w:lang w:eastAsia="zh-CN"/>
        </w:rPr>
        <w:t>、</w:t>
      </w:r>
      <w:r>
        <w:rPr>
          <w:rFonts w:hint="eastAsia"/>
          <w:lang w:val="en-US" w:eastAsia="zh-CN"/>
        </w:rPr>
        <w:t>住房公积金差额</w:t>
      </w:r>
      <w:r>
        <w:rPr>
          <w:rFonts w:hint="eastAsia"/>
        </w:rPr>
        <w:t>等均由投标人承担。</w:t>
      </w:r>
    </w:p>
    <w:p w14:paraId="0AF85C3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11.2.2按照招标文件要求完成本项目的全部相关服务</w:t>
      </w:r>
      <w:r>
        <w:rPr>
          <w:rFonts w:hint="eastAsia" w:ascii="宋体" w:hAnsi="宋体" w:eastAsia="宋体" w:cs="宋体"/>
          <w:color w:val="auto"/>
          <w:sz w:val="21"/>
          <w:szCs w:val="21"/>
          <w:highlight w:val="none"/>
          <w:lang w:val="en-US" w:eastAsia="zh-CN"/>
        </w:rPr>
        <w:t>和货物</w:t>
      </w:r>
      <w:r>
        <w:rPr>
          <w:rFonts w:hint="eastAsia" w:ascii="宋体" w:hAnsi="宋体" w:eastAsia="宋体" w:cs="宋体"/>
          <w:color w:val="auto"/>
          <w:sz w:val="21"/>
          <w:szCs w:val="21"/>
          <w:highlight w:val="none"/>
        </w:rPr>
        <w:t>费用。</w:t>
      </w:r>
    </w:p>
    <w:p w14:paraId="3E01BE2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投标人在投标时任何错漏、优惠或竞争性报价不得作为</w:t>
      </w:r>
      <w:r>
        <w:rPr>
          <w:rFonts w:hint="eastAsia" w:ascii="宋体" w:hAnsi="宋体" w:eastAsia="宋体" w:cs="宋体"/>
          <w:color w:val="auto"/>
          <w:sz w:val="21"/>
          <w:szCs w:val="21"/>
          <w:highlight w:val="none"/>
          <w:lang w:val="en-US" w:eastAsia="zh-CN"/>
        </w:rPr>
        <w:t>合同履行</w:t>
      </w:r>
      <w:r>
        <w:rPr>
          <w:rFonts w:hint="eastAsia" w:ascii="宋体" w:hAnsi="宋体" w:eastAsia="宋体" w:cs="宋体"/>
          <w:color w:val="auto"/>
          <w:sz w:val="21"/>
          <w:szCs w:val="21"/>
          <w:highlight w:val="none"/>
        </w:rPr>
        <w:t>期间减轻责任、减少服务、增加费用、降低质量的理由。</w:t>
      </w:r>
    </w:p>
    <w:p w14:paraId="6551B9E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采购人不得向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索要或者接受其给予的赠品、回扣或者与采购无关的其他商品、服务。</w:t>
      </w:r>
    </w:p>
    <w:p w14:paraId="6608525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投标人不能提供任何有选择性或可调整的报价，否则其</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w:t>
      </w:r>
    </w:p>
    <w:p w14:paraId="0A3C2531">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12</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投标保证金</w:t>
      </w:r>
    </w:p>
    <w:p w14:paraId="5083495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根据江苏省和常州市的相关文件规定，免收投标保证金。</w:t>
      </w:r>
    </w:p>
    <w:p w14:paraId="7273265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投标有效期</w:t>
      </w:r>
    </w:p>
    <w:p w14:paraId="0D7AF24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13.1投标文件应在本招标文件《投标人须知资料表》中规定的投标有效期内保持有效，投标有效期少于招标文件规定期限的，其</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w:t>
      </w:r>
    </w:p>
    <w:p w14:paraId="5BDEFF42">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投标文件的签署、加盖公章</w:t>
      </w:r>
    </w:p>
    <w:p w14:paraId="2DA0850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14.1招标文件要求签字的内容（如授权委托书等），可以使用电子签章或使用原件的电子件（电子件指扫描件、照片等形式电子文件）；要求第三方出具的加盖公章原件（如联合协议、分包意向协议、制造商授权书等），投标文件中应使用原件的电子件。</w:t>
      </w:r>
    </w:p>
    <w:p w14:paraId="2CD0811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14.2招标文件要求加盖公章的内容，一般通过投标文件编制工具加盖电子签章。</w:t>
      </w:r>
    </w:p>
    <w:p w14:paraId="11A9B963">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   投标文件的提交</w:t>
      </w:r>
    </w:p>
    <w:p w14:paraId="44074259">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投标文件的提交</w:t>
      </w:r>
    </w:p>
    <w:p w14:paraId="2D2E0894">
      <w:pPr>
        <w:pStyle w:val="42"/>
        <w:keepNext w:val="0"/>
        <w:keepLines w:val="0"/>
        <w:pageBreakBefore w:val="0"/>
        <w:widowControl w:val="0"/>
        <w:shd w:val="clear"/>
        <w:kinsoku/>
        <w:wordWrap/>
        <w:overflowPunct/>
        <w:topLinePunct/>
        <w:autoSpaceDE/>
        <w:autoSpaceDN/>
        <w:bidi w:val="0"/>
        <w:adjustRightInd w:val="0"/>
        <w:snapToGrid w:val="0"/>
        <w:spacing w:before="0" w:line="360" w:lineRule="auto"/>
        <w:ind w:lef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15.1本项目使用</w:t>
      </w:r>
      <w:r>
        <w:rPr>
          <w:rFonts w:hint="eastAsia" w:cs="宋体"/>
          <w:color w:val="auto"/>
          <w:sz w:val="21"/>
          <w:szCs w:val="21"/>
          <w:highlight w:val="none"/>
          <w:lang w:val="en-US" w:eastAsia="zh-CN"/>
        </w:rPr>
        <w:t>政府采购一体化平台“苏采云”</w:t>
      </w:r>
      <w:r>
        <w:rPr>
          <w:rFonts w:hint="eastAsia" w:ascii="宋体" w:hAnsi="宋体" w:eastAsia="宋体" w:cs="宋体"/>
          <w:color w:val="auto"/>
          <w:sz w:val="21"/>
          <w:szCs w:val="21"/>
          <w:highlight w:val="none"/>
          <w:lang w:val="en-US" w:eastAsia="zh-CN"/>
        </w:rPr>
        <w:t>。投标人根据招标文件及</w:t>
      </w:r>
      <w:r>
        <w:rPr>
          <w:rFonts w:hint="eastAsia" w:cs="宋体"/>
          <w:color w:val="auto"/>
          <w:sz w:val="21"/>
          <w:szCs w:val="21"/>
          <w:highlight w:val="none"/>
          <w:lang w:val="en-US" w:eastAsia="zh-CN"/>
        </w:rPr>
        <w:t>政府采购一体化平台“苏采云”</w:t>
      </w:r>
      <w:r>
        <w:rPr>
          <w:rFonts w:hint="eastAsia" w:ascii="宋体" w:hAnsi="宋体" w:eastAsia="宋体" w:cs="宋体"/>
          <w:color w:val="auto"/>
          <w:sz w:val="21"/>
          <w:szCs w:val="21"/>
          <w:highlight w:val="none"/>
          <w:lang w:val="en-US" w:eastAsia="zh-CN"/>
        </w:rPr>
        <w:t>供应商操作手册要求编制、生成并提交电子投标文件。</w:t>
      </w:r>
    </w:p>
    <w:p w14:paraId="5318F469">
      <w:pPr>
        <w:pStyle w:val="42"/>
        <w:keepNext w:val="0"/>
        <w:keepLines w:val="0"/>
        <w:pageBreakBefore w:val="0"/>
        <w:widowControl w:val="0"/>
        <w:shd w:val="clear"/>
        <w:kinsoku/>
        <w:wordWrap/>
        <w:overflowPunct/>
        <w:topLinePunct/>
        <w:autoSpaceDE/>
        <w:autoSpaceDN/>
        <w:bidi w:val="0"/>
        <w:adjustRightInd w:val="0"/>
        <w:snapToGrid w:val="0"/>
        <w:spacing w:before="0" w:line="360" w:lineRule="auto"/>
        <w:ind w:lef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15.2采购人及采购代理机构拒绝接受通过</w:t>
      </w:r>
      <w:r>
        <w:rPr>
          <w:rFonts w:hint="eastAsia" w:cs="宋体"/>
          <w:color w:val="auto"/>
          <w:sz w:val="21"/>
          <w:szCs w:val="21"/>
          <w:highlight w:val="none"/>
          <w:lang w:val="en-US" w:eastAsia="zh-CN"/>
        </w:rPr>
        <w:t>政府采购一体化平台“苏采云”</w:t>
      </w:r>
      <w:r>
        <w:rPr>
          <w:rFonts w:hint="eastAsia" w:ascii="宋体" w:hAnsi="宋体" w:eastAsia="宋体" w:cs="宋体"/>
          <w:color w:val="auto"/>
          <w:sz w:val="21"/>
          <w:szCs w:val="21"/>
          <w:highlight w:val="none"/>
          <w:lang w:val="en-US" w:eastAsia="zh-CN"/>
        </w:rPr>
        <w:t>以外任何形式提交的投标文件。</w:t>
      </w:r>
    </w:p>
    <w:p w14:paraId="516AF5D8">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16</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投标截止时间</w:t>
      </w:r>
    </w:p>
    <w:p w14:paraId="4EEB468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16.1投标人应在招标文件要求提交投标文件截止时间前，将电子投标文件提交至</w:t>
      </w:r>
      <w:r>
        <w:rPr>
          <w:rFonts w:hint="eastAsia" w:ascii="宋体" w:hAnsi="宋体" w:cs="宋体"/>
          <w:b w:val="0"/>
          <w:bCs w:val="0"/>
          <w:color w:val="auto"/>
          <w:sz w:val="21"/>
          <w:szCs w:val="21"/>
          <w:highlight w:val="none"/>
          <w:lang w:eastAsia="zh-CN"/>
        </w:rPr>
        <w:t>政府采购一体化平台“苏采云”</w:t>
      </w:r>
      <w:r>
        <w:rPr>
          <w:rFonts w:hint="eastAsia" w:ascii="宋体" w:hAnsi="宋体" w:eastAsia="宋体" w:cs="宋体"/>
          <w:b w:val="0"/>
          <w:bCs w:val="0"/>
          <w:color w:val="auto"/>
          <w:sz w:val="21"/>
          <w:szCs w:val="21"/>
          <w:highlight w:val="none"/>
        </w:rPr>
        <w:t>。</w:t>
      </w:r>
    </w:p>
    <w:p w14:paraId="7DDF50E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投标文件的修改与撤回</w:t>
      </w:r>
    </w:p>
    <w:p w14:paraId="1F4A0CF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17.1投标截止时间前，投标人可以通过</w:t>
      </w:r>
      <w:r>
        <w:rPr>
          <w:rFonts w:hint="eastAsia" w:ascii="宋体" w:hAnsi="宋体" w:cs="宋体"/>
          <w:color w:val="auto"/>
          <w:sz w:val="21"/>
          <w:szCs w:val="21"/>
          <w:highlight w:val="none"/>
          <w:lang w:eastAsia="zh-CN"/>
        </w:rPr>
        <w:t>政府采购一体化平台“苏采云”</w:t>
      </w:r>
      <w:r>
        <w:rPr>
          <w:rFonts w:hint="eastAsia" w:ascii="宋体" w:hAnsi="宋体" w:eastAsia="宋体" w:cs="宋体"/>
          <w:color w:val="auto"/>
          <w:sz w:val="21"/>
          <w:szCs w:val="21"/>
          <w:highlight w:val="none"/>
        </w:rPr>
        <w:t>对所提交的投标文件进行补充、修改或者撤回。</w:t>
      </w:r>
    </w:p>
    <w:p w14:paraId="5A35810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17.2投标人对投标文件的补充、修改的内容应当按照招标文件要求签署、加盖公章，作为投标文件的组成部分。</w:t>
      </w:r>
    </w:p>
    <w:p w14:paraId="4CC00ABD">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五   开标、资格审查及评标</w:t>
      </w:r>
    </w:p>
    <w:p w14:paraId="7B301C9D">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18</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开标</w:t>
      </w:r>
    </w:p>
    <w:p w14:paraId="4FEB79D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18.1采购人或采购代理机构将按招标文件的规定，在投标截止时间的同一时间和招标文件预先确定的地点组织开标。</w:t>
      </w:r>
    </w:p>
    <w:p w14:paraId="56159F4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18.2本项目开标采用不见面招投标模式，使用</w:t>
      </w:r>
      <w:r>
        <w:rPr>
          <w:rFonts w:hint="eastAsia" w:ascii="宋体" w:hAnsi="宋体" w:cs="宋体"/>
          <w:color w:val="auto"/>
          <w:sz w:val="21"/>
          <w:szCs w:val="21"/>
          <w:highlight w:val="none"/>
          <w:lang w:eastAsia="zh-CN"/>
        </w:rPr>
        <w:t>政府采购一体化平台“苏采云”</w:t>
      </w:r>
      <w:r>
        <w:rPr>
          <w:rFonts w:hint="eastAsia" w:ascii="宋体" w:hAnsi="宋体" w:eastAsia="宋体" w:cs="宋体"/>
          <w:color w:val="auto"/>
          <w:sz w:val="21"/>
          <w:szCs w:val="21"/>
          <w:highlight w:val="none"/>
        </w:rPr>
        <w:t>在线进行开标。投标人应在规定的时间内对投标文件进行解密，因非系统原因导致的解密失败，视为投标无效。</w:t>
      </w:r>
    </w:p>
    <w:p w14:paraId="3A8511F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18.3开标过程将使用</w:t>
      </w:r>
      <w:r>
        <w:rPr>
          <w:rFonts w:hint="eastAsia" w:ascii="宋体" w:hAnsi="宋体" w:cs="宋体"/>
          <w:color w:val="auto"/>
          <w:sz w:val="21"/>
          <w:szCs w:val="21"/>
          <w:highlight w:val="none"/>
          <w:lang w:eastAsia="zh-CN"/>
        </w:rPr>
        <w:t>政府采购一体化平台“苏采云”</w:t>
      </w:r>
      <w:r>
        <w:rPr>
          <w:rFonts w:hint="eastAsia" w:ascii="宋体" w:hAnsi="宋体" w:eastAsia="宋体" w:cs="宋体"/>
          <w:color w:val="auto"/>
          <w:sz w:val="21"/>
          <w:szCs w:val="21"/>
          <w:highlight w:val="none"/>
        </w:rPr>
        <w:t>公布投标人名称、投标价格和招标文件规定的需要宣布的其他内容并进行记录，并由参加开标的各投标人代表在规定时间内确认。投标人超过规定时间未确认但是未提出疑义的，系统将视同已确认。</w:t>
      </w:r>
    </w:p>
    <w:p w14:paraId="421A995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18.4投标人代表对开标过程和开标记录有疑义，以及认为采购人、采购代理机构相关工作人员有需要回避的情形的，应当场通过业务系统提出询问或者回避申请。采购人、采购代理机构对投标人代表提出的询问或者回避申请将及时处理。</w:t>
      </w:r>
    </w:p>
    <w:p w14:paraId="7558F2E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18.5投标人不足3家的，不予开标。</w:t>
      </w:r>
    </w:p>
    <w:p w14:paraId="6A227F9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18.6投标人须在开标前使用“验证CA”功能验证本地计算机的控件环境是否正常，并且在开标评审过程中不可随意更换计算机，必须使用验证成功的计算机进行操作，否则造成相应后果由投标人自行承担。本地计算机要求安装摄像头、麦克风和音箱，保持网络通畅。</w:t>
      </w:r>
    </w:p>
    <w:p w14:paraId="6081815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18.7因本项目采用不见面交易的方式，在开标、评审过程中，供应商需要保持操作计算机前有相关责任人值守，及时对于系统或者评委会发出的指令和要求进行响应操作。如果因为无人值守造成不能及时回应系统或者评委会指令和要求从而导致影响开标、评审结果的，责任由投标人承担。</w:t>
      </w:r>
    </w:p>
    <w:p w14:paraId="3EE9005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18.8如果在采购活动过程中出现以下情形，导致“</w:t>
      </w:r>
      <w:r>
        <w:rPr>
          <w:rFonts w:hint="eastAsia" w:ascii="宋体" w:hAnsi="宋体" w:cs="宋体"/>
          <w:color w:val="auto"/>
          <w:sz w:val="21"/>
          <w:szCs w:val="21"/>
          <w:highlight w:val="none"/>
          <w:lang w:eastAsia="zh-CN"/>
        </w:rPr>
        <w:t>政府采购一体化平台“苏采云”</w:t>
      </w:r>
      <w:r>
        <w:rPr>
          <w:rFonts w:hint="eastAsia" w:ascii="宋体" w:hAnsi="宋体" w:eastAsia="宋体" w:cs="宋体"/>
          <w:color w:val="auto"/>
          <w:sz w:val="21"/>
          <w:szCs w:val="21"/>
          <w:highlight w:val="none"/>
        </w:rPr>
        <w:t>”系统无法正常运行，或者无法保证本项目采购活动的公平、公正和安全时，代理机构可以延缓或者暂停采购活动，情况严重的可以终止采购活动：</w:t>
      </w:r>
    </w:p>
    <w:p w14:paraId="55C5D17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1)平台系统发生故障而无法登录访问的；</w:t>
      </w:r>
    </w:p>
    <w:p w14:paraId="19393D1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2)平台系统应用或数据库出现错误，不能进行正常操作的；</w:t>
      </w:r>
    </w:p>
    <w:p w14:paraId="1FC3CF4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3)平台系统发现严重安全漏洞，有潜在泄密危险的；</w:t>
      </w:r>
    </w:p>
    <w:p w14:paraId="1525E1E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4)病毒发作导致平台系统不能进行正常操作的；</w:t>
      </w:r>
    </w:p>
    <w:p w14:paraId="2CD6829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5)其他无法保证本次采购活动的公平、公正和安全的情况。</w:t>
      </w:r>
    </w:p>
    <w:p w14:paraId="5206EFA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上述情形，不影响采购活动公平、公正性的，代理机构可以待上述情形消除后继续组织不见面交易采购活动，也可以决定某些环节以纸质形式进行；影响或可能影响采购活动公平、公正性的，应当终止本次项目，重新组织采购。</w:t>
      </w:r>
    </w:p>
    <w:p w14:paraId="06D5620E">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19</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资格审查</w:t>
      </w:r>
    </w:p>
    <w:p w14:paraId="38FF0BD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19.1见第三章《资格审查》。</w:t>
      </w:r>
    </w:p>
    <w:p w14:paraId="7D191EB4">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20</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评标委员会</w:t>
      </w:r>
    </w:p>
    <w:p w14:paraId="488C30B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20.1评标委员会根据政府采购有关规定和本次招标采购项目的特点进行组建，并负责具体评标事务，独立履行职责。</w:t>
      </w:r>
    </w:p>
    <w:p w14:paraId="455222A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20.2评审专家须符合相关规定。依法自行选定评审专家的，采购人和采购代理机构将查询有关信用记录，对具有行贿、受贿、欺诈等不良信用记录的人员，拒绝其参与政府采购活动。</w:t>
      </w:r>
    </w:p>
    <w:p w14:paraId="737BDF89">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评标程序、评标方法和评标标准</w:t>
      </w:r>
    </w:p>
    <w:p w14:paraId="75F12DE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21.1见第四章《评标程序、评标方法和评标标准》。</w:t>
      </w:r>
    </w:p>
    <w:p w14:paraId="7177B206">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8"/>
          <w:szCs w:val="28"/>
          <w:highlight w:val="none"/>
        </w:rPr>
        <w:t>六   确定中标</w:t>
      </w:r>
    </w:p>
    <w:p w14:paraId="591B2646">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确定中标人</w:t>
      </w:r>
    </w:p>
    <w:p w14:paraId="2CBDA32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授权评标委员会直接确定</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在评标报告确定的中标候选人名单中按顺序确定中标人，中标候选人并列的，由采购人依法确定。</w:t>
      </w:r>
    </w:p>
    <w:p w14:paraId="05921C4E">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23</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中标公告与中标通知书</w:t>
      </w:r>
    </w:p>
    <w:p w14:paraId="1501316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23.1采购人或采购代理机构自中标人确定之日起2个工作日内，在</w:t>
      </w:r>
      <w:r>
        <w:rPr>
          <w:rFonts w:hint="eastAsia" w:ascii="宋体" w:hAnsi="宋体" w:cs="宋体"/>
          <w:color w:val="auto"/>
          <w:sz w:val="21"/>
          <w:szCs w:val="21"/>
          <w:highlight w:val="none"/>
          <w:lang w:val="en-US" w:eastAsia="zh-CN"/>
        </w:rPr>
        <w:t>江苏政府采购网、</w:t>
      </w:r>
      <w:r>
        <w:rPr>
          <w:rFonts w:hint="eastAsia" w:ascii="宋体" w:hAnsi="宋体" w:eastAsia="宋体" w:cs="宋体"/>
          <w:color w:val="auto"/>
          <w:sz w:val="21"/>
          <w:szCs w:val="21"/>
          <w:highlight w:val="none"/>
        </w:rPr>
        <w:t>常州市政府采购网公告中标结果，同时向中标人发出中标通知书，中标公告期限为1个工作日。</w:t>
      </w:r>
    </w:p>
    <w:p w14:paraId="5E5C2D6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23.2中标通知书对采购人和中标供应商均具有法律效力。中标通知书发出后，采购人改变中标结果的，或者中标供应商放弃中标项目的，应当依法承担法律责任。</w:t>
      </w:r>
    </w:p>
    <w:p w14:paraId="68B0C1C6">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废标</w:t>
      </w:r>
    </w:p>
    <w:p w14:paraId="4F9AF6B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24.1在招标采购中，出现下列情形之一的，应予废标：</w:t>
      </w:r>
    </w:p>
    <w:p w14:paraId="45C2E08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24.1.1符合专业条件的供应商或者对招标文件作实质响应的供应商不足三家的；</w:t>
      </w:r>
    </w:p>
    <w:p w14:paraId="0A30252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24.1.2出现影响采购公正的违法、违规行为的；</w:t>
      </w:r>
    </w:p>
    <w:p w14:paraId="2DA8372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24.1.3投标人的报价均超过了采购预算，采购人不能支付的；</w:t>
      </w:r>
    </w:p>
    <w:p w14:paraId="0BEAFA4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24.1.4因重大变故，采购任务取消的。</w:t>
      </w:r>
    </w:p>
    <w:p w14:paraId="1623EE7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24.1.5平台系统出现序号18.8所述情形，情况严重且影响采购活动公平、公正性的。</w:t>
      </w:r>
    </w:p>
    <w:p w14:paraId="09D3D70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24.2废标后，采购人将废标理由通知所有投标人。</w:t>
      </w:r>
    </w:p>
    <w:p w14:paraId="0C0CBED8">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签订合同</w:t>
      </w:r>
    </w:p>
    <w:p w14:paraId="7BC2CEF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25.1中标人、采购人应当自中标通知书发出之日起30日内，按照招标文件和中标人投标文件的规定签订书面合同。所签订的合同不得对招标文件确定的事项和中标人投标文件作实质性修改。</w:t>
      </w:r>
    </w:p>
    <w:p w14:paraId="387A30B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25.2中标人拒绝与采购人签订合同的，采购人可以按照评标报告推荐的中标候选人名单排序，确定下一候选人为中标人，也可以重新开展政府采购活动。</w:t>
      </w:r>
    </w:p>
    <w:p w14:paraId="238049F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25.3联合体中标的，联合体各方应当共同与采购人签订合同，就中标项目向采购人承担连带责任。</w:t>
      </w:r>
    </w:p>
    <w:p w14:paraId="4434149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25.4政府采购合同不能转包。</w:t>
      </w:r>
    </w:p>
    <w:p w14:paraId="49532FB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25.5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否则投标无效。中标人就采购项目和分包项目向采购人负责，分包供应商就分包项目承担责任。</w:t>
      </w:r>
    </w:p>
    <w:p w14:paraId="27E9556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25.6</w:t>
      </w:r>
      <w:r>
        <w:rPr>
          <w:rFonts w:hint="eastAsia" w:ascii="宋体" w:hAnsi="宋体" w:eastAsia="宋体" w:cs="宋体"/>
          <w:color w:val="auto"/>
          <w:sz w:val="21"/>
          <w:szCs w:val="21"/>
          <w:highlight w:val="none"/>
        </w:rPr>
        <w:t>政府采购合同履行中，采购人需追加与合同标的相同的服务的，在不改变合同其他条款的前提下，可以与</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协商签订补充合同，但所有补充合同的采购金额不得超过原合同采购金额的</w:t>
      </w:r>
      <w:r>
        <w:rPr>
          <w:rFonts w:hint="eastAsia" w:ascii="宋体" w:hAnsi="宋体" w:cs="宋体"/>
          <w:color w:val="auto"/>
          <w:sz w:val="21"/>
          <w:szCs w:val="21"/>
          <w:highlight w:val="none"/>
          <w:lang w:val="en-US" w:eastAsia="zh-CN"/>
        </w:rPr>
        <w:t>10%。</w:t>
      </w:r>
    </w:p>
    <w:p w14:paraId="2C2C170D">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26</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询问与质疑</w:t>
      </w:r>
    </w:p>
    <w:p w14:paraId="63DD659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26.1询问</w:t>
      </w:r>
    </w:p>
    <w:p w14:paraId="5442977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26.1.1投标人对政府采购活动事项有疑问的，可依法提出询问，并按《投标人须知资料表》载明的形式送达采购人或采购代理机构。</w:t>
      </w:r>
    </w:p>
    <w:p w14:paraId="70738F6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26.1.2采购人或采购代理机构对</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依法提出的询问，在3个工作日内作出答复，但答复的内容不得涉及商业秘密。</w:t>
      </w:r>
    </w:p>
    <w:p w14:paraId="6BA4E4C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26.2质疑</w:t>
      </w:r>
    </w:p>
    <w:p w14:paraId="54FDA42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26.2.1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14:paraId="29C1F51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26.2.2招标文件中采购需求以及相关部分（第四章、第五章以及投标人资格要求）由采购人负责制定和管理，对该部分内容有询问或者质疑的，投标人应当向采购人书面提出，由采购人负责接收和回复。</w:t>
      </w:r>
    </w:p>
    <w:p w14:paraId="59CDC8B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26.2.3质疑函须使用财政部制定的范本文件。（下载网址：http</w:t>
      </w:r>
      <w:r>
        <w:rPr>
          <w:rFonts w:hint="eastAsia" w:ascii="宋体" w:hAnsi="宋体" w:cs="宋体"/>
          <w:color w:val="auto"/>
          <w:sz w:val="21"/>
          <w:szCs w:val="21"/>
          <w:highlight w:val="none"/>
          <w:lang w:val="en-US" w:eastAsia="zh-CN"/>
        </w:rPr>
        <w:t>s</w:t>
      </w:r>
      <w:r>
        <w:rPr>
          <w:rFonts w:hint="eastAsia" w:ascii="宋体" w:hAnsi="宋体" w:eastAsia="宋体" w:cs="宋体"/>
          <w:color w:val="auto"/>
          <w:sz w:val="21"/>
          <w:szCs w:val="21"/>
          <w:highlight w:val="none"/>
        </w:rPr>
        <w:t>://gks.mof.gov.cn/ztztz/zhengfucaigouguanli/201802/t20180201_2804589.htm）</w:t>
      </w:r>
    </w:p>
    <w:p w14:paraId="2256343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26.2.4投标人为自然人的，应当由本人签字；投标人为法人或者其他组织的，应当由法定代表人、主要负责人，或者其授权代表签字或者加盖公章，并加盖公章。</w:t>
      </w:r>
    </w:p>
    <w:p w14:paraId="097A863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26.2.5投标人应在法定质疑期内一次性提出针对同一采购程序环节的质疑，法定质疑期内针对同一采购程序环节再次提出的质疑，采购人、采购代理机构有权不予答复。</w:t>
      </w:r>
    </w:p>
    <w:p w14:paraId="12070FB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26.3接收询问和质疑的联系部门、联系电话和通讯地址见《投标人须知资料表》。</w:t>
      </w:r>
    </w:p>
    <w:p w14:paraId="4275C70C">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代理费</w:t>
      </w:r>
    </w:p>
    <w:p w14:paraId="40D41B4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27.1收费对象、收费标准及缴纳时间见《投标人须知资料表》。由中标人支付的，中标人须一次性向采购代理机构缴纳代理费，投标报价应包含代理费用。</w:t>
      </w:r>
    </w:p>
    <w:p w14:paraId="77D0436A">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28 纸质中标（成交）文件</w:t>
      </w:r>
      <w:r>
        <w:rPr>
          <w:rFonts w:hint="eastAsia" w:ascii="宋体" w:hAnsi="宋体" w:eastAsia="宋体" w:cs="宋体"/>
          <w:b/>
          <w:bCs/>
          <w:color w:val="auto"/>
          <w:sz w:val="21"/>
          <w:szCs w:val="21"/>
          <w:highlight w:val="none"/>
          <w:lang w:val="en-US" w:eastAsia="zh-CN"/>
        </w:rPr>
        <w:tab/>
      </w:r>
    </w:p>
    <w:p w14:paraId="7900B6BC">
      <w:pPr>
        <w:pStyle w:val="8"/>
        <w:keepNext w:val="0"/>
        <w:keepLines w:val="0"/>
        <w:pageBreakBefore w:val="0"/>
        <w:widowControl w:val="0"/>
        <w:kinsoku/>
        <w:wordWrap/>
        <w:overflowPunct/>
        <w:topLinePunct/>
        <w:autoSpaceDE/>
        <w:autoSpaceDN/>
        <w:bidi w:val="0"/>
        <w:adjustRightInd w:val="0"/>
        <w:snapToGrid w:val="0"/>
        <w:spacing w:before="0" w:line="360" w:lineRule="auto"/>
        <w:ind w:firstLine="420" w:firstLineChars="200"/>
        <w:textAlignment w:val="auto"/>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中标人在签订合同前需递交与电子投标文件内容一致的纸质投标文件叁份（装订或胶装，封面加盖中标人公章、法定代表人名章鲜章，侧边加盖骑缝公章鲜章），纸质投标文件作为项目归档使用（递交方式可采用邮寄或现场送达至常州青枫招标有限公司，联系方式见《第一章 投标邀请》）。</w:t>
      </w:r>
    </w:p>
    <w:p w14:paraId="6D46943E">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2F1C1783">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0"/>
        <w:rPr>
          <w:rFonts w:hint="eastAsia" w:ascii="宋体" w:hAnsi="宋体" w:eastAsia="宋体" w:cs="宋体"/>
          <w:b/>
          <w:color w:val="auto"/>
          <w:sz w:val="32"/>
          <w:szCs w:val="32"/>
          <w:highlight w:val="none"/>
        </w:rPr>
      </w:pPr>
      <w:bookmarkStart w:id="3" w:name="_Toc30500"/>
      <w:r>
        <w:rPr>
          <w:rFonts w:hint="eastAsia" w:ascii="宋体" w:hAnsi="宋体" w:eastAsia="宋体" w:cs="宋体"/>
          <w:b/>
          <w:color w:val="auto"/>
          <w:sz w:val="32"/>
          <w:szCs w:val="32"/>
          <w:highlight w:val="none"/>
        </w:rPr>
        <w:t>第三章</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资格审查</w:t>
      </w:r>
      <w:bookmarkEnd w:id="3"/>
    </w:p>
    <w:p w14:paraId="12C7191E">
      <w:pPr>
        <w:keepNext w:val="0"/>
        <w:keepLines w:val="0"/>
        <w:pageBreakBefore w:val="0"/>
        <w:widowControl w:val="0"/>
        <w:shd w:val="clear"/>
        <w:tabs>
          <w:tab w:val="left" w:pos="360"/>
          <w:tab w:val="left" w:pos="900"/>
        </w:tabs>
        <w:kinsoku/>
        <w:wordWrap/>
        <w:overflowPunct/>
        <w:topLinePunct/>
        <w:autoSpaceDE/>
        <w:autoSpaceDN/>
        <w:bidi w:val="0"/>
        <w:adjustRightInd w:val="0"/>
        <w:snapToGrid w:val="0"/>
        <w:spacing w:line="360" w:lineRule="auto"/>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资格审查程序</w:t>
      </w:r>
    </w:p>
    <w:p w14:paraId="3AA7D1C0">
      <w:pPr>
        <w:keepNext w:val="0"/>
        <w:keepLines w:val="0"/>
        <w:pageBreakBefore w:val="0"/>
        <w:widowControl w:val="0"/>
        <w:numPr>
          <w:ilvl w:val="0"/>
          <w:numId w:val="0"/>
        </w:numPr>
        <w:shd w:val="clear"/>
        <w:tabs>
          <w:tab w:val="left" w:pos="426"/>
          <w:tab w:val="left" w:pos="851"/>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 </w:t>
      </w:r>
      <w:r>
        <w:rPr>
          <w:rFonts w:hint="eastAsia" w:ascii="宋体" w:hAnsi="宋体" w:eastAsia="宋体" w:cs="宋体"/>
          <w:color w:val="auto"/>
          <w:sz w:val="21"/>
          <w:szCs w:val="21"/>
          <w:highlight w:val="none"/>
        </w:rPr>
        <w:t>开标结束后，采购人将根据《资格审查要求》中的规定，对投标人进行资格审查，并形成资格审查结果。</w:t>
      </w:r>
    </w:p>
    <w:p w14:paraId="292C0508">
      <w:pPr>
        <w:keepNext w:val="0"/>
        <w:keepLines w:val="0"/>
        <w:pageBreakBefore w:val="0"/>
        <w:widowControl w:val="0"/>
        <w:numPr>
          <w:ilvl w:val="0"/>
          <w:numId w:val="0"/>
        </w:numPr>
        <w:shd w:val="clear"/>
        <w:tabs>
          <w:tab w:val="left" w:pos="426"/>
          <w:tab w:val="left" w:pos="851"/>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《资格审查要求》中对格式有要求的，除招标文件另有规定外，均为“实质性格式”文件。</w:t>
      </w:r>
    </w:p>
    <w:p w14:paraId="15E071BF">
      <w:pPr>
        <w:keepNext w:val="0"/>
        <w:keepLines w:val="0"/>
        <w:pageBreakBefore w:val="0"/>
        <w:widowControl w:val="0"/>
        <w:numPr>
          <w:ilvl w:val="0"/>
          <w:numId w:val="0"/>
        </w:numPr>
        <w:shd w:val="clear"/>
        <w:tabs>
          <w:tab w:val="left" w:pos="426"/>
          <w:tab w:val="left" w:pos="851"/>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投标人《资格证明文件》有任何一项不符合《资格审查要求》的，资格审查不合格，其</w:t>
      </w:r>
      <w:r>
        <w:rPr>
          <w:rFonts w:hint="eastAsia" w:ascii="宋体" w:hAnsi="宋体" w:eastAsia="宋体" w:cs="宋体"/>
          <w:b/>
          <w:color w:val="auto"/>
          <w:sz w:val="21"/>
          <w:szCs w:val="21"/>
          <w:highlight w:val="none"/>
        </w:rPr>
        <w:t>投标无效</w:t>
      </w:r>
      <w:r>
        <w:rPr>
          <w:rFonts w:hint="eastAsia" w:ascii="宋体" w:hAnsi="宋体" w:eastAsia="宋体" w:cs="宋体"/>
          <w:color w:val="auto"/>
          <w:sz w:val="21"/>
          <w:szCs w:val="21"/>
          <w:highlight w:val="none"/>
        </w:rPr>
        <w:t>。</w:t>
      </w:r>
    </w:p>
    <w:p w14:paraId="20841835">
      <w:pPr>
        <w:keepNext w:val="0"/>
        <w:keepLines w:val="0"/>
        <w:pageBreakBefore w:val="0"/>
        <w:widowControl w:val="0"/>
        <w:numPr>
          <w:ilvl w:val="0"/>
          <w:numId w:val="0"/>
        </w:numPr>
        <w:shd w:val="clear"/>
        <w:tabs>
          <w:tab w:val="left" w:pos="426"/>
          <w:tab w:val="left" w:pos="851"/>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4 </w:t>
      </w:r>
      <w:r>
        <w:rPr>
          <w:rFonts w:hint="eastAsia" w:ascii="宋体" w:hAnsi="宋体" w:eastAsia="宋体" w:cs="宋体"/>
          <w:color w:val="auto"/>
          <w:sz w:val="21"/>
          <w:szCs w:val="21"/>
          <w:highlight w:val="none"/>
        </w:rPr>
        <w:t>资格审查合格的投标人不足3家的，不进行评标。</w:t>
      </w:r>
    </w:p>
    <w:p w14:paraId="27A82590">
      <w:pPr>
        <w:keepNext w:val="0"/>
        <w:keepLines w:val="0"/>
        <w:pageBreakBefore w:val="0"/>
        <w:widowControl w:val="0"/>
        <w:shd w:val="clear"/>
        <w:tabs>
          <w:tab w:val="left" w:pos="360"/>
          <w:tab w:val="left" w:pos="900"/>
        </w:tabs>
        <w:kinsoku/>
        <w:wordWrap/>
        <w:overflowPunct/>
        <w:topLinePunct/>
        <w:autoSpaceDE/>
        <w:autoSpaceDN/>
        <w:bidi w:val="0"/>
        <w:adjustRightInd w:val="0"/>
        <w:snapToGrid w:val="0"/>
        <w:spacing w:line="360" w:lineRule="auto"/>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资格审查要求</w:t>
      </w:r>
    </w:p>
    <w:tbl>
      <w:tblPr>
        <w:tblStyle w:val="18"/>
        <w:tblW w:w="57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3"/>
        <w:gridCol w:w="2237"/>
        <w:gridCol w:w="5286"/>
        <w:gridCol w:w="2378"/>
      </w:tblGrid>
      <w:tr w14:paraId="004D7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blHeader/>
          <w:jc w:val="center"/>
        </w:trPr>
        <w:tc>
          <w:tcPr>
            <w:tcW w:w="344" w:type="pct"/>
            <w:noWrap w:val="0"/>
            <w:vAlign w:val="center"/>
          </w:tcPr>
          <w:p w14:paraId="4A7CB3B3">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051" w:type="pct"/>
            <w:noWrap w:val="0"/>
            <w:vAlign w:val="center"/>
          </w:tcPr>
          <w:p w14:paraId="5BAAEC79">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审查因素</w:t>
            </w:r>
          </w:p>
        </w:tc>
        <w:tc>
          <w:tcPr>
            <w:tcW w:w="2485" w:type="pct"/>
            <w:noWrap w:val="0"/>
            <w:vAlign w:val="center"/>
          </w:tcPr>
          <w:p w14:paraId="5EF1B0C4">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审查内容</w:t>
            </w:r>
          </w:p>
        </w:tc>
        <w:tc>
          <w:tcPr>
            <w:tcW w:w="1118" w:type="pct"/>
            <w:noWrap w:val="0"/>
            <w:vAlign w:val="center"/>
          </w:tcPr>
          <w:p w14:paraId="14931A5A">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格式要求</w:t>
            </w:r>
          </w:p>
        </w:tc>
      </w:tr>
      <w:tr w14:paraId="7B99A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344" w:type="pct"/>
            <w:noWrap w:val="0"/>
            <w:vAlign w:val="center"/>
          </w:tcPr>
          <w:p w14:paraId="45FD63E5">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w:t>
            </w:r>
          </w:p>
        </w:tc>
        <w:tc>
          <w:tcPr>
            <w:tcW w:w="1051" w:type="pct"/>
            <w:noWrap w:val="0"/>
            <w:vAlign w:val="center"/>
          </w:tcPr>
          <w:p w14:paraId="753DEBD1">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满足《中华人民共和国政府采购法》第二十二条规定及法律法规的其他规定</w:t>
            </w:r>
          </w:p>
        </w:tc>
        <w:tc>
          <w:tcPr>
            <w:tcW w:w="2485" w:type="pct"/>
            <w:noWrap w:val="0"/>
            <w:vAlign w:val="center"/>
          </w:tcPr>
          <w:p w14:paraId="4E0954DF">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具体规定见第一章《投标邀请》</w:t>
            </w:r>
          </w:p>
        </w:tc>
        <w:tc>
          <w:tcPr>
            <w:tcW w:w="1118" w:type="pct"/>
            <w:noWrap w:val="0"/>
            <w:vAlign w:val="center"/>
          </w:tcPr>
          <w:p w14:paraId="1C8A3C65">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p>
        </w:tc>
      </w:tr>
      <w:tr w14:paraId="001D9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344" w:type="pct"/>
            <w:noWrap w:val="0"/>
            <w:vAlign w:val="center"/>
          </w:tcPr>
          <w:p w14:paraId="0DE8E9D3">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051" w:type="pct"/>
            <w:noWrap w:val="0"/>
            <w:vAlign w:val="center"/>
          </w:tcPr>
          <w:p w14:paraId="15FA8889">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营业执照</w:t>
            </w:r>
            <w:r>
              <w:rPr>
                <w:rFonts w:hint="eastAsia" w:ascii="宋体" w:hAnsi="宋体" w:cs="宋体"/>
                <w:color w:val="auto"/>
                <w:sz w:val="21"/>
                <w:szCs w:val="21"/>
                <w:highlight w:val="none"/>
                <w:lang w:val="en-US" w:eastAsia="zh-CN"/>
              </w:rPr>
              <w:t>等</w:t>
            </w:r>
          </w:p>
        </w:tc>
        <w:tc>
          <w:tcPr>
            <w:tcW w:w="2485" w:type="pct"/>
            <w:noWrap w:val="0"/>
            <w:vAlign w:val="center"/>
          </w:tcPr>
          <w:p w14:paraId="412F686F">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有效的法人或者其他组织的营业执照等证明文件</w:t>
            </w:r>
            <w:r>
              <w:rPr>
                <w:rFonts w:hint="eastAsia" w:ascii="宋体" w:hAnsi="宋体" w:cs="宋体"/>
                <w:color w:val="auto"/>
                <w:sz w:val="21"/>
                <w:szCs w:val="21"/>
                <w:highlight w:val="none"/>
                <w:lang w:val="en-US" w:eastAsia="zh-CN"/>
              </w:rPr>
              <w:t>。</w:t>
            </w:r>
          </w:p>
        </w:tc>
        <w:tc>
          <w:tcPr>
            <w:tcW w:w="1118" w:type="pct"/>
            <w:noWrap w:val="0"/>
            <w:vAlign w:val="center"/>
          </w:tcPr>
          <w:p w14:paraId="3C3543FA">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提供证明文件的</w:t>
            </w:r>
            <w:r>
              <w:rPr>
                <w:rFonts w:hint="eastAsia" w:ascii="宋体" w:hAnsi="宋体" w:cs="宋体"/>
                <w:color w:val="auto"/>
                <w:sz w:val="21"/>
                <w:szCs w:val="21"/>
                <w:highlight w:val="none"/>
                <w:lang w:val="en-US" w:eastAsia="zh-CN"/>
              </w:rPr>
              <w:t>复印件或</w:t>
            </w:r>
            <w:r>
              <w:rPr>
                <w:rFonts w:hint="eastAsia" w:ascii="宋体" w:hAnsi="宋体" w:eastAsia="宋体" w:cs="宋体"/>
                <w:color w:val="auto"/>
                <w:sz w:val="21"/>
                <w:szCs w:val="21"/>
                <w:highlight w:val="none"/>
                <w:lang w:val="en-US" w:eastAsia="zh-CN"/>
              </w:rPr>
              <w:t>电子件或电子证照，加盖投标人公章</w:t>
            </w:r>
            <w:r>
              <w:rPr>
                <w:rFonts w:hint="eastAsia" w:ascii="宋体" w:hAnsi="宋体" w:cs="宋体"/>
                <w:color w:val="auto"/>
                <w:sz w:val="21"/>
                <w:szCs w:val="21"/>
                <w:highlight w:val="none"/>
                <w:lang w:val="en-US" w:eastAsia="zh-CN"/>
              </w:rPr>
              <w:t>。</w:t>
            </w:r>
          </w:p>
        </w:tc>
      </w:tr>
      <w:tr w14:paraId="41820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344" w:type="pct"/>
            <w:noWrap w:val="0"/>
            <w:vAlign w:val="center"/>
          </w:tcPr>
          <w:p w14:paraId="5434995F">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p>
        </w:tc>
        <w:tc>
          <w:tcPr>
            <w:tcW w:w="1051" w:type="pct"/>
            <w:noWrap w:val="0"/>
            <w:vAlign w:val="center"/>
          </w:tcPr>
          <w:p w14:paraId="1B9A2E90">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投标人资格声明函</w:t>
            </w:r>
          </w:p>
        </w:tc>
        <w:tc>
          <w:tcPr>
            <w:tcW w:w="2485" w:type="pct"/>
            <w:noWrap w:val="0"/>
            <w:vAlign w:val="center"/>
          </w:tcPr>
          <w:p w14:paraId="4945B5D8">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提供符合招标文件要求的《投标人资格声明函》。</w:t>
            </w:r>
          </w:p>
        </w:tc>
        <w:tc>
          <w:tcPr>
            <w:tcW w:w="1118" w:type="pct"/>
            <w:noWrap w:val="0"/>
            <w:vAlign w:val="center"/>
          </w:tcPr>
          <w:p w14:paraId="55D770DD">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格式见《投标文件格式》</w:t>
            </w:r>
            <w:r>
              <w:rPr>
                <w:rFonts w:hint="eastAsia" w:ascii="宋体" w:hAnsi="宋体" w:cs="宋体"/>
                <w:color w:val="auto"/>
                <w:sz w:val="21"/>
                <w:szCs w:val="21"/>
                <w:highlight w:val="none"/>
                <w:lang w:eastAsia="zh-CN"/>
              </w:rPr>
              <w:t>。</w:t>
            </w:r>
          </w:p>
        </w:tc>
      </w:tr>
      <w:tr w14:paraId="0904A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344" w:type="pct"/>
            <w:noWrap w:val="0"/>
            <w:vAlign w:val="center"/>
          </w:tcPr>
          <w:p w14:paraId="25B57707">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p>
        </w:tc>
        <w:tc>
          <w:tcPr>
            <w:tcW w:w="1051" w:type="pct"/>
            <w:noWrap w:val="0"/>
            <w:vAlign w:val="center"/>
          </w:tcPr>
          <w:p w14:paraId="4B856B26">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投标人信用记录</w:t>
            </w:r>
          </w:p>
        </w:tc>
        <w:tc>
          <w:tcPr>
            <w:tcW w:w="2485" w:type="pct"/>
            <w:noWrap w:val="0"/>
            <w:vAlign w:val="center"/>
          </w:tcPr>
          <w:p w14:paraId="71BB641C">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查询渠道：信用中国网站和中国政府采购网（www.creditchina.gov.cn、www.ccgp.gov.cn）；</w:t>
            </w:r>
          </w:p>
          <w:p w14:paraId="0B93CA8A">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截止时点：投标截止时间以后、资格审查阶段采购人或采购代理机构的实际查询时间；</w:t>
            </w:r>
          </w:p>
          <w:p w14:paraId="07172D27">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信用信息查询记录和证据留存具体方式：查询结果网页打印页作为查询记录和证据，与其他采购文件一并保存；</w:t>
            </w:r>
          </w:p>
          <w:p w14:paraId="7104278C">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信用信息的使用原则：经认定的被列入失信被执行人、重大税收违法案件当事人名单</w:t>
            </w:r>
            <w:r>
              <w:rPr>
                <w:rFonts w:hint="eastAsia" w:ascii="宋体" w:hAnsi="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、政府采购严重违法失信行为记录名单的投标人，其</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。联合体形式投标的，联合体成员存在不良信用记录，视同联合体存在不良信用记录。</w:t>
            </w:r>
          </w:p>
        </w:tc>
        <w:tc>
          <w:tcPr>
            <w:tcW w:w="1118" w:type="pct"/>
            <w:noWrap w:val="0"/>
            <w:vAlign w:val="center"/>
          </w:tcPr>
          <w:p w14:paraId="50578001">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无须投标人提供，由采购人</w:t>
            </w:r>
            <w:r>
              <w:rPr>
                <w:rFonts w:hint="eastAsia" w:ascii="宋体" w:hAnsi="宋体" w:cs="宋体"/>
                <w:color w:val="auto"/>
                <w:sz w:val="21"/>
                <w:szCs w:val="21"/>
                <w:highlight w:val="none"/>
                <w:lang w:val="en-US" w:eastAsia="zh-CN"/>
              </w:rPr>
              <w:t>或采购代理机构现场</w:t>
            </w:r>
            <w:r>
              <w:rPr>
                <w:rFonts w:hint="eastAsia" w:ascii="宋体" w:hAnsi="宋体" w:eastAsia="宋体" w:cs="宋体"/>
                <w:color w:val="auto"/>
                <w:sz w:val="21"/>
                <w:szCs w:val="21"/>
                <w:highlight w:val="none"/>
              </w:rPr>
              <w:t>查询。</w:t>
            </w:r>
          </w:p>
        </w:tc>
      </w:tr>
      <w:tr w14:paraId="46AA4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344" w:type="pct"/>
            <w:noWrap w:val="0"/>
            <w:vAlign w:val="center"/>
          </w:tcPr>
          <w:p w14:paraId="61331CE6">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w:t>
            </w:r>
          </w:p>
        </w:tc>
        <w:tc>
          <w:tcPr>
            <w:tcW w:w="1051" w:type="pct"/>
            <w:noWrap w:val="0"/>
            <w:vAlign w:val="center"/>
          </w:tcPr>
          <w:p w14:paraId="0873C9F6">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落实政府采购政策需满足的资格要求</w:t>
            </w:r>
          </w:p>
        </w:tc>
        <w:tc>
          <w:tcPr>
            <w:tcW w:w="2485" w:type="pct"/>
            <w:noWrap w:val="0"/>
            <w:vAlign w:val="center"/>
          </w:tcPr>
          <w:p w14:paraId="07FDEB4F">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具体要求见第一章《投标邀请》</w:t>
            </w:r>
          </w:p>
        </w:tc>
        <w:tc>
          <w:tcPr>
            <w:tcW w:w="1118" w:type="pct"/>
            <w:noWrap w:val="0"/>
            <w:vAlign w:val="center"/>
          </w:tcPr>
          <w:p w14:paraId="577C3920">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lang w:eastAsia="zh-CN"/>
              </w:rPr>
            </w:pPr>
          </w:p>
        </w:tc>
      </w:tr>
      <w:tr w14:paraId="4F3AA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344" w:type="pct"/>
            <w:noWrap w:val="0"/>
            <w:vAlign w:val="center"/>
          </w:tcPr>
          <w:p w14:paraId="455EE70E">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w:t>
            </w:r>
          </w:p>
        </w:tc>
        <w:tc>
          <w:tcPr>
            <w:tcW w:w="1051" w:type="pct"/>
            <w:noWrap w:val="0"/>
            <w:vAlign w:val="center"/>
          </w:tcPr>
          <w:p w14:paraId="18ECACE5">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中小企业声明函</w:t>
            </w:r>
            <w:r>
              <w:rPr>
                <w:rFonts w:hint="eastAsia" w:ascii="宋体" w:hAnsi="宋体" w:cs="宋体"/>
                <w:color w:val="auto"/>
                <w:sz w:val="21"/>
                <w:szCs w:val="21"/>
                <w:highlight w:val="none"/>
                <w:lang w:val="en-US" w:eastAsia="zh-CN"/>
              </w:rPr>
              <w:t>等</w:t>
            </w:r>
          </w:p>
        </w:tc>
        <w:tc>
          <w:tcPr>
            <w:tcW w:w="2485" w:type="pct"/>
            <w:noWrap w:val="0"/>
            <w:vAlign w:val="center"/>
          </w:tcPr>
          <w:p w14:paraId="55D449AC">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本项目（包）专门面向中小企业采购，《资格证明文件》中</w:t>
            </w:r>
            <w:r>
              <w:rPr>
                <w:rFonts w:hint="eastAsia" w:ascii="宋体" w:hAnsi="宋体" w:cs="宋体"/>
                <w:b/>
                <w:bCs/>
                <w:color w:val="auto"/>
                <w:sz w:val="21"/>
                <w:szCs w:val="21"/>
                <w:highlight w:val="none"/>
                <w:lang w:val="en-US" w:eastAsia="zh-CN"/>
              </w:rPr>
              <w:t>必须</w:t>
            </w:r>
            <w:r>
              <w:rPr>
                <w:rFonts w:hint="eastAsia" w:ascii="宋体" w:hAnsi="宋体" w:eastAsia="宋体" w:cs="宋体"/>
                <w:b/>
                <w:bCs/>
                <w:color w:val="auto"/>
                <w:sz w:val="21"/>
                <w:szCs w:val="21"/>
                <w:highlight w:val="none"/>
              </w:rPr>
              <w:t>提供。</w:t>
            </w:r>
          </w:p>
          <w:p w14:paraId="1A68C905">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1、投标人单独投标的，应提供中小企业声明函；如为监狱企业或残疾人福利性单位，不必提供中小企业声明函，但须按注1或注2要求提供证明材料。</w:t>
            </w:r>
          </w:p>
          <w:p w14:paraId="4E60E0AB">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招标文件要求以联合体形式参加或者要求合同分包的，且投标人为联合体或拟进行合同分包的，则联合体中的中小企业、签订分包意向协议的中小企业具体情况须在《中小企业声明函》中如实填报。上述中小企业如为监狱企业或残疾人福利性单位应在声明函中如实列明单位性质，并按注1或注2要求提供证明材料。</w:t>
            </w:r>
          </w:p>
          <w:p w14:paraId="02756679">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注1：监狱企业须提供由省级以上监狱管理局（常州市含教育矫治局）、戒毒管理局（含新疆生产建设兵团）出具的属于监狱企业的证明文件。</w:t>
            </w:r>
          </w:p>
          <w:p w14:paraId="45C591C1">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注2：残疾人福利性单位须按招标文件要求提供《残疾人福利性单位声明函》。</w:t>
            </w:r>
          </w:p>
        </w:tc>
        <w:tc>
          <w:tcPr>
            <w:tcW w:w="1118" w:type="pct"/>
            <w:noWrap w:val="0"/>
            <w:vAlign w:val="center"/>
          </w:tcPr>
          <w:p w14:paraId="6551B1DB">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格式见《投标文件格式》</w:t>
            </w:r>
            <w:r>
              <w:rPr>
                <w:rFonts w:hint="eastAsia" w:ascii="宋体" w:hAnsi="宋体" w:cs="宋体"/>
                <w:color w:val="auto"/>
                <w:sz w:val="21"/>
                <w:szCs w:val="21"/>
                <w:highlight w:val="none"/>
                <w:lang w:eastAsia="zh-CN"/>
              </w:rPr>
              <w:t>。</w:t>
            </w:r>
          </w:p>
        </w:tc>
      </w:tr>
      <w:tr w14:paraId="4D3F3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44" w:type="pct"/>
            <w:noWrap w:val="0"/>
            <w:vAlign w:val="center"/>
          </w:tcPr>
          <w:p w14:paraId="391F5428">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p>
        </w:tc>
        <w:tc>
          <w:tcPr>
            <w:tcW w:w="1051" w:type="pct"/>
            <w:noWrap w:val="0"/>
            <w:vAlign w:val="center"/>
          </w:tcPr>
          <w:p w14:paraId="10335998">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落实政府采购政策的资格要求</w:t>
            </w:r>
          </w:p>
        </w:tc>
        <w:tc>
          <w:tcPr>
            <w:tcW w:w="2485" w:type="pct"/>
            <w:noWrap w:val="0"/>
            <w:vAlign w:val="center"/>
          </w:tcPr>
          <w:p w14:paraId="7FE3129F">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val="en-US" w:eastAsia="zh-CN"/>
              </w:rPr>
              <w:t xml:space="preserve">  /  </w:t>
            </w:r>
          </w:p>
        </w:tc>
        <w:tc>
          <w:tcPr>
            <w:tcW w:w="1118" w:type="pct"/>
            <w:noWrap w:val="0"/>
            <w:vAlign w:val="center"/>
          </w:tcPr>
          <w:p w14:paraId="2965DBA4">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lang w:eastAsia="zh-CN"/>
              </w:rPr>
            </w:pPr>
          </w:p>
        </w:tc>
      </w:tr>
      <w:tr w14:paraId="601D9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344" w:type="pct"/>
            <w:noWrap w:val="0"/>
            <w:vAlign w:val="center"/>
          </w:tcPr>
          <w:p w14:paraId="0AD3CAD6">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3</w:t>
            </w:r>
          </w:p>
        </w:tc>
        <w:tc>
          <w:tcPr>
            <w:tcW w:w="1051" w:type="pct"/>
            <w:noWrap w:val="0"/>
            <w:vAlign w:val="center"/>
          </w:tcPr>
          <w:p w14:paraId="558F56BB">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tc>
        <w:tc>
          <w:tcPr>
            <w:tcW w:w="2485" w:type="pct"/>
            <w:noWrap w:val="0"/>
            <w:vAlign w:val="center"/>
          </w:tcPr>
          <w:p w14:paraId="44A80BBC">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具体要求</w:t>
            </w:r>
            <w:r>
              <w:rPr>
                <w:rFonts w:hint="eastAsia" w:ascii="宋体" w:hAnsi="宋体" w:eastAsia="宋体" w:cs="宋体"/>
                <w:color w:val="auto"/>
                <w:sz w:val="21"/>
                <w:szCs w:val="21"/>
                <w:highlight w:val="none"/>
              </w:rPr>
              <w:t>见第一章《投标邀请》</w:t>
            </w:r>
          </w:p>
        </w:tc>
        <w:tc>
          <w:tcPr>
            <w:tcW w:w="1118" w:type="pct"/>
            <w:noWrap w:val="0"/>
            <w:vAlign w:val="center"/>
          </w:tcPr>
          <w:p w14:paraId="09590C05">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p>
        </w:tc>
      </w:tr>
      <w:tr w14:paraId="0F7EC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44" w:type="pct"/>
            <w:noWrap w:val="0"/>
            <w:vAlign w:val="center"/>
          </w:tcPr>
          <w:p w14:paraId="5708ABD3">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1051" w:type="pct"/>
            <w:noWrap w:val="0"/>
            <w:vAlign w:val="center"/>
          </w:tcPr>
          <w:p w14:paraId="4B55597E">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是否接受联合体投标</w:t>
            </w:r>
          </w:p>
        </w:tc>
        <w:tc>
          <w:tcPr>
            <w:tcW w:w="2485" w:type="pct"/>
            <w:noWrap w:val="0"/>
            <w:vAlign w:val="center"/>
          </w:tcPr>
          <w:p w14:paraId="3CC27EE1">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本项目不接受联合体投标时，投标人不得为联合体。</w:t>
            </w:r>
          </w:p>
        </w:tc>
        <w:tc>
          <w:tcPr>
            <w:tcW w:w="1118" w:type="pct"/>
            <w:noWrap w:val="0"/>
            <w:vAlign w:val="center"/>
          </w:tcPr>
          <w:p w14:paraId="7DF35152">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p>
        </w:tc>
      </w:tr>
      <w:tr w14:paraId="71EF3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jc w:val="center"/>
        </w:trPr>
        <w:tc>
          <w:tcPr>
            <w:tcW w:w="344" w:type="pct"/>
            <w:noWrap w:val="0"/>
            <w:vAlign w:val="center"/>
          </w:tcPr>
          <w:p w14:paraId="56E17AAD">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p>
        </w:tc>
        <w:tc>
          <w:tcPr>
            <w:tcW w:w="1051" w:type="pct"/>
            <w:noWrap w:val="0"/>
            <w:vAlign w:val="center"/>
          </w:tcPr>
          <w:p w14:paraId="717FCD80">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其他特定资格要求</w:t>
            </w:r>
          </w:p>
        </w:tc>
        <w:tc>
          <w:tcPr>
            <w:tcW w:w="2485" w:type="pct"/>
            <w:noWrap w:val="0"/>
            <w:vAlign w:val="center"/>
          </w:tcPr>
          <w:p w14:paraId="056ED880">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leftChars="0" w:right="0" w:rightChars="0"/>
              <w:textAlignment w:val="auto"/>
              <w:outlineLvl w:val="9"/>
              <w:rPr>
                <w:rFonts w:hint="eastAsia" w:ascii="宋体" w:hAnsi="宋体" w:eastAsia="宋体" w:cs="宋体"/>
                <w:color w:val="auto"/>
                <w:sz w:val="21"/>
                <w:szCs w:val="21"/>
                <w:highlight w:val="none"/>
                <w:lang w:eastAsia="zh-CN"/>
              </w:rPr>
            </w:pPr>
            <w:r>
              <w:rPr>
                <w:rFonts w:hint="eastAsia" w:ascii="宋体" w:hAnsi="宋体" w:cs="宋体"/>
                <w:szCs w:val="21"/>
              </w:rPr>
              <w:t>有效的《食品经营许可证》</w:t>
            </w:r>
          </w:p>
        </w:tc>
        <w:tc>
          <w:tcPr>
            <w:tcW w:w="1118" w:type="pct"/>
            <w:noWrap w:val="0"/>
            <w:vAlign w:val="center"/>
          </w:tcPr>
          <w:p w14:paraId="1A011971">
            <w:pPr>
              <w:keepNext w:val="0"/>
              <w:keepLines w:val="0"/>
              <w:pageBreakBefore w:val="0"/>
              <w:widowControl w:val="0"/>
              <w:suppressLineNumbers w:val="0"/>
              <w:shd w:val="clear"/>
              <w:tabs>
                <w:tab w:val="left" w:pos="1080"/>
              </w:tabs>
              <w:kinsoku/>
              <w:wordWrap/>
              <w:overflowPunct/>
              <w:topLinePunct/>
              <w:autoSpaceDE/>
              <w:autoSpaceDN/>
              <w:bidi w:val="0"/>
              <w:adjustRightInd w:val="0"/>
              <w:snapToGrid w:val="0"/>
              <w:spacing w:before="0" w:beforeAutospacing="0" w:after="0" w:afterAutospacing="0" w:line="380" w:lineRule="exact"/>
              <w:ind w:left="0" w:leftChars="0" w:right="0" w:rightChars="0"/>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szCs w:val="21"/>
              </w:rPr>
              <w:t>提供证明文件的复印件，加盖投标人公章。</w:t>
            </w:r>
          </w:p>
        </w:tc>
      </w:tr>
    </w:tbl>
    <w:p w14:paraId="23650BF3">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4D14D3E3">
      <w:pPr>
        <w:keepNext w:val="0"/>
        <w:keepLines w:val="0"/>
        <w:pageBreakBefore w:val="0"/>
        <w:widowControl w:val="0"/>
        <w:shd w:val="clear"/>
        <w:kinsoku/>
        <w:wordWrap/>
        <w:overflowPunct/>
        <w:topLinePunct/>
        <w:autoSpaceDE/>
        <w:autoSpaceDN/>
        <w:bidi w:val="0"/>
        <w:adjustRightInd w:val="0"/>
        <w:snapToGrid w:val="0"/>
        <w:spacing w:line="360" w:lineRule="auto"/>
        <w:jc w:val="center"/>
        <w:outlineLvl w:val="0"/>
        <w:rPr>
          <w:rFonts w:hint="eastAsia" w:ascii="宋体" w:hAnsi="宋体" w:eastAsia="宋体" w:cs="宋体"/>
          <w:b/>
          <w:color w:val="auto"/>
          <w:sz w:val="32"/>
          <w:szCs w:val="32"/>
          <w:highlight w:val="none"/>
        </w:rPr>
      </w:pPr>
      <w:bookmarkStart w:id="4" w:name="_Toc32369"/>
      <w:r>
        <w:rPr>
          <w:rFonts w:hint="eastAsia" w:ascii="宋体" w:hAnsi="宋体" w:eastAsia="宋体" w:cs="宋体"/>
          <w:b/>
          <w:color w:val="auto"/>
          <w:sz w:val="32"/>
          <w:szCs w:val="32"/>
          <w:highlight w:val="none"/>
        </w:rPr>
        <w:t>第四章</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评标程序、评标方法和评标标准</w:t>
      </w:r>
      <w:bookmarkEnd w:id="4"/>
    </w:p>
    <w:p w14:paraId="69B1EC12">
      <w:pPr>
        <w:keepNext w:val="0"/>
        <w:keepLines w:val="0"/>
        <w:pageBreakBefore w:val="0"/>
        <w:widowControl w:val="0"/>
        <w:shd w:val="clear"/>
        <w:tabs>
          <w:tab w:val="left" w:pos="360"/>
          <w:tab w:val="left" w:pos="900"/>
        </w:tabs>
        <w:kinsoku/>
        <w:wordWrap/>
        <w:overflowPunct/>
        <w:topLinePunct/>
        <w:autoSpaceDE/>
        <w:autoSpaceDN/>
        <w:bidi w:val="0"/>
        <w:adjustRightInd w:val="0"/>
        <w:snapToGrid w:val="0"/>
        <w:spacing w:line="360" w:lineRule="auto"/>
        <w:jc w:val="cente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评标程序</w:t>
      </w:r>
    </w:p>
    <w:p w14:paraId="5BCF7556">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1</w:t>
      </w:r>
      <w:r>
        <w:rPr>
          <w:rFonts w:hint="eastAsia" w:ascii="宋体" w:hAnsi="宋体" w:eastAsia="宋体" w:cs="宋体"/>
          <w:b/>
          <w:bCs w:val="0"/>
          <w:color w:val="auto"/>
          <w:sz w:val="21"/>
          <w:szCs w:val="21"/>
          <w:highlight w:val="none"/>
          <w:lang w:val="en-US" w:eastAsia="zh-CN"/>
        </w:rPr>
        <w:t xml:space="preserve"> </w:t>
      </w:r>
      <w:r>
        <w:rPr>
          <w:rFonts w:hint="eastAsia" w:ascii="宋体" w:hAnsi="宋体" w:eastAsia="宋体" w:cs="宋体"/>
          <w:b/>
          <w:bCs w:val="0"/>
          <w:color w:val="auto"/>
          <w:sz w:val="21"/>
          <w:szCs w:val="21"/>
          <w:highlight w:val="none"/>
        </w:rPr>
        <w:t>投标文件的符合性审查</w:t>
      </w:r>
    </w:p>
    <w:p w14:paraId="32661E8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1.1评标委员会对资格审查合格的投标人的投标文件进行符合性审查，以确定其是否满足招标文件的实质性要求。</w:t>
      </w:r>
    </w:p>
    <w:p w14:paraId="657D925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rFonts w:hint="eastAsia" w:ascii="宋体" w:hAnsi="宋体" w:eastAsia="宋体" w:cs="宋体"/>
          <w:b/>
          <w:bCs w:val="0"/>
          <w:color w:val="auto"/>
          <w:sz w:val="21"/>
          <w:szCs w:val="21"/>
          <w:highlight w:val="none"/>
        </w:rPr>
        <w:t>投标无效</w:t>
      </w:r>
      <w:r>
        <w:rPr>
          <w:rFonts w:hint="eastAsia" w:ascii="宋体" w:hAnsi="宋体" w:eastAsia="宋体" w:cs="宋体"/>
          <w:b w:val="0"/>
          <w:bCs/>
          <w:color w:val="auto"/>
          <w:sz w:val="21"/>
          <w:szCs w:val="21"/>
          <w:highlight w:val="none"/>
        </w:rPr>
        <w:t>。</w:t>
      </w:r>
    </w:p>
    <w:p w14:paraId="7AB27084">
      <w:pPr>
        <w:keepNext w:val="0"/>
        <w:keepLines w:val="0"/>
        <w:pageBreakBefore w:val="0"/>
        <w:widowControl w:val="0"/>
        <w:shd w:val="clear"/>
        <w:tabs>
          <w:tab w:val="left" w:pos="900"/>
          <w:tab w:val="left" w:pos="1080"/>
          <w:tab w:val="left" w:pos="1589"/>
        </w:tabs>
        <w:kinsoku/>
        <w:wordWrap/>
        <w:overflowPunct/>
        <w:topLinePunct/>
        <w:autoSpaceDE/>
        <w:autoSpaceDN/>
        <w:bidi w:val="0"/>
        <w:adjustRightInd w:val="0"/>
        <w:snapToGrid w:val="0"/>
        <w:spacing w:line="360" w:lineRule="auto"/>
        <w:ind w:leftChars="-170" w:hanging="357" w:hangingChars="148"/>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符合性审查要求</w:t>
      </w:r>
    </w:p>
    <w:tbl>
      <w:tblPr>
        <w:tblStyle w:val="18"/>
        <w:tblW w:w="53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576"/>
        <w:gridCol w:w="6600"/>
      </w:tblGrid>
      <w:tr w14:paraId="7201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noWrap w:val="0"/>
            <w:vAlign w:val="center"/>
          </w:tcPr>
          <w:p w14:paraId="0EECD1C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294" w:type="pct"/>
            <w:noWrap w:val="0"/>
            <w:vAlign w:val="center"/>
          </w:tcPr>
          <w:p w14:paraId="0CCFBE2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审查因素</w:t>
            </w:r>
          </w:p>
        </w:tc>
        <w:tc>
          <w:tcPr>
            <w:tcW w:w="3315" w:type="pct"/>
            <w:noWrap w:val="0"/>
            <w:vAlign w:val="center"/>
          </w:tcPr>
          <w:p w14:paraId="2815CA6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审查内容</w:t>
            </w:r>
          </w:p>
        </w:tc>
      </w:tr>
      <w:tr w14:paraId="2E45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22B169E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1</w:t>
            </w:r>
          </w:p>
        </w:tc>
        <w:tc>
          <w:tcPr>
            <w:tcW w:w="1294" w:type="pct"/>
            <w:shd w:val="clear" w:color="auto" w:fill="auto"/>
            <w:noWrap w:val="0"/>
            <w:vAlign w:val="center"/>
          </w:tcPr>
          <w:p w14:paraId="264DCD1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报价符合性审查</w:t>
            </w:r>
          </w:p>
        </w:tc>
        <w:tc>
          <w:tcPr>
            <w:tcW w:w="3315" w:type="pct"/>
            <w:shd w:val="clear" w:color="auto" w:fill="auto"/>
            <w:noWrap w:val="0"/>
            <w:vAlign w:val="center"/>
          </w:tcPr>
          <w:p w14:paraId="5B7B095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cs="宋体"/>
                <w:color w:val="auto"/>
                <w:kern w:val="0"/>
                <w:szCs w:val="21"/>
                <w:highlight w:val="none"/>
              </w:rPr>
              <w:t>报价合理，或投标人的报价明显低于其他通过符合性审查投标人的报价，有可能影响产品质量或者不能诚信履约的，能够应评标委员会要求在规定时间内证明其报价合理性的；</w:t>
            </w:r>
          </w:p>
          <w:p w14:paraId="3358841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属于投标（响应）报价低于采购项目最高限价招标文件规定比例的，即投标（响应）报价＜采购项目最高限价×招标文件预设比例，</w:t>
            </w:r>
            <w:r>
              <w:rPr>
                <w:rFonts w:hint="eastAsia" w:ascii="宋体" w:hAnsi="宋体" w:eastAsia="宋体" w:cs="宋体"/>
                <w:color w:val="auto"/>
                <w:kern w:val="0"/>
                <w:sz w:val="21"/>
                <w:szCs w:val="21"/>
                <w:highlight w:val="none"/>
                <w:lang w:val="en-US" w:eastAsia="zh-CN"/>
              </w:rPr>
              <w:t>投标人</w:t>
            </w:r>
            <w:r>
              <w:rPr>
                <w:rFonts w:hint="eastAsia" w:ascii="宋体" w:hAnsi="宋体" w:eastAsia="宋体" w:cs="宋体"/>
                <w:color w:val="auto"/>
                <w:kern w:val="0"/>
                <w:sz w:val="21"/>
                <w:szCs w:val="21"/>
                <w:highlight w:val="none"/>
              </w:rPr>
              <w:t>可随投标文件一并提交相关书面说明及必要的证明材料。</w:t>
            </w:r>
          </w:p>
        </w:tc>
      </w:tr>
      <w:tr w14:paraId="2A0E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74AED2C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2</w:t>
            </w:r>
          </w:p>
        </w:tc>
        <w:tc>
          <w:tcPr>
            <w:tcW w:w="1294" w:type="pct"/>
            <w:noWrap w:val="0"/>
            <w:vAlign w:val="center"/>
          </w:tcPr>
          <w:p w14:paraId="0BD27CD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投标函、</w:t>
            </w:r>
            <w:r>
              <w:rPr>
                <w:rFonts w:hint="eastAsia" w:ascii="宋体" w:hAnsi="宋体" w:eastAsia="宋体" w:cs="宋体"/>
                <w:color w:val="auto"/>
                <w:sz w:val="21"/>
                <w:szCs w:val="21"/>
                <w:highlight w:val="none"/>
              </w:rPr>
              <w:t>法定代表人资格证明书</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授权委托书（如有）</w:t>
            </w:r>
          </w:p>
        </w:tc>
        <w:tc>
          <w:tcPr>
            <w:tcW w:w="3315" w:type="pct"/>
            <w:noWrap w:val="0"/>
            <w:vAlign w:val="center"/>
          </w:tcPr>
          <w:p w14:paraId="6CAFCCE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按招标文件要求提供投标函、</w:t>
            </w:r>
            <w:r>
              <w:rPr>
                <w:rFonts w:hint="eastAsia" w:ascii="宋体" w:hAnsi="宋体" w:eastAsia="宋体" w:cs="宋体"/>
                <w:color w:val="auto"/>
                <w:sz w:val="21"/>
                <w:szCs w:val="21"/>
                <w:highlight w:val="none"/>
              </w:rPr>
              <w:t>法定代表人资格证明书</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授权委托书（如有）</w:t>
            </w:r>
            <w:r>
              <w:rPr>
                <w:rFonts w:hint="eastAsia" w:ascii="宋体" w:hAnsi="宋体" w:eastAsia="宋体" w:cs="宋体"/>
                <w:color w:val="auto"/>
                <w:kern w:val="0"/>
                <w:sz w:val="21"/>
                <w:szCs w:val="21"/>
                <w:highlight w:val="none"/>
              </w:rPr>
              <w:t>；</w:t>
            </w:r>
          </w:p>
        </w:tc>
      </w:tr>
      <w:tr w14:paraId="6D3F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0F9BDB5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3</w:t>
            </w:r>
          </w:p>
        </w:tc>
        <w:tc>
          <w:tcPr>
            <w:tcW w:w="1294" w:type="pct"/>
            <w:noWrap w:val="0"/>
            <w:vAlign w:val="center"/>
          </w:tcPr>
          <w:p w14:paraId="6750A13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投标完整性</w:t>
            </w:r>
          </w:p>
        </w:tc>
        <w:tc>
          <w:tcPr>
            <w:tcW w:w="3315" w:type="pct"/>
            <w:noWrap w:val="0"/>
            <w:vAlign w:val="center"/>
          </w:tcPr>
          <w:p w14:paraId="20F5309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未将一个采购包中的内容拆开投标；</w:t>
            </w:r>
          </w:p>
        </w:tc>
      </w:tr>
      <w:tr w14:paraId="3948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52DCE45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4</w:t>
            </w:r>
          </w:p>
        </w:tc>
        <w:tc>
          <w:tcPr>
            <w:tcW w:w="1294" w:type="pct"/>
            <w:noWrap w:val="0"/>
            <w:vAlign w:val="center"/>
          </w:tcPr>
          <w:p w14:paraId="0FF2F31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投标报价</w:t>
            </w:r>
          </w:p>
        </w:tc>
        <w:tc>
          <w:tcPr>
            <w:tcW w:w="3315" w:type="pct"/>
            <w:noWrap w:val="0"/>
            <w:vAlign w:val="center"/>
          </w:tcPr>
          <w:p w14:paraId="5E83911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投标报价未</w:t>
            </w:r>
            <w:r>
              <w:rPr>
                <w:rFonts w:hint="eastAsia" w:ascii="宋体" w:hAnsi="宋体" w:eastAsia="宋体" w:cs="宋体"/>
                <w:color w:val="auto"/>
                <w:sz w:val="21"/>
                <w:szCs w:val="21"/>
                <w:highlight w:val="none"/>
              </w:rPr>
              <w:t>超过招标文件中规定的项目/采购包预算金额或者项目/采购包最高限价</w:t>
            </w:r>
            <w:r>
              <w:rPr>
                <w:rFonts w:hint="eastAsia" w:ascii="宋体" w:hAnsi="宋体" w:eastAsia="宋体" w:cs="宋体"/>
                <w:color w:val="auto"/>
                <w:kern w:val="0"/>
                <w:sz w:val="21"/>
                <w:szCs w:val="21"/>
                <w:highlight w:val="none"/>
              </w:rPr>
              <w:t>；</w:t>
            </w:r>
          </w:p>
        </w:tc>
      </w:tr>
      <w:tr w14:paraId="3C0B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noWrap w:val="0"/>
            <w:vAlign w:val="center"/>
          </w:tcPr>
          <w:p w14:paraId="582B4EA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294" w:type="pct"/>
            <w:noWrap w:val="0"/>
            <w:vAlign w:val="center"/>
          </w:tcPr>
          <w:p w14:paraId="36DC437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报价唯一性</w:t>
            </w:r>
          </w:p>
        </w:tc>
        <w:tc>
          <w:tcPr>
            <w:tcW w:w="3315" w:type="pct"/>
            <w:noWrap w:val="0"/>
            <w:vAlign w:val="center"/>
          </w:tcPr>
          <w:p w14:paraId="44E5EB6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投标文件未</w:t>
            </w:r>
            <w:r>
              <w:rPr>
                <w:rFonts w:hint="eastAsia" w:ascii="宋体" w:hAnsi="宋体" w:eastAsia="宋体" w:cs="宋体"/>
                <w:color w:val="auto"/>
                <w:sz w:val="21"/>
                <w:szCs w:val="21"/>
                <w:highlight w:val="none"/>
              </w:rPr>
              <w:t>出现可选择性或可调整的报价（招标文件另有规定的除外）</w:t>
            </w:r>
            <w:r>
              <w:rPr>
                <w:rFonts w:hint="eastAsia" w:ascii="宋体" w:hAnsi="宋体" w:eastAsia="宋体" w:cs="宋体"/>
                <w:color w:val="auto"/>
                <w:kern w:val="0"/>
                <w:sz w:val="21"/>
                <w:szCs w:val="21"/>
                <w:highlight w:val="none"/>
              </w:rPr>
              <w:t>；</w:t>
            </w:r>
          </w:p>
        </w:tc>
      </w:tr>
      <w:tr w14:paraId="28E7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0E8D58C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6</w:t>
            </w:r>
          </w:p>
        </w:tc>
        <w:tc>
          <w:tcPr>
            <w:tcW w:w="1294" w:type="pct"/>
            <w:shd w:val="clear" w:color="auto" w:fill="auto"/>
            <w:noWrap w:val="0"/>
            <w:vAlign w:val="center"/>
          </w:tcPr>
          <w:p w14:paraId="65C2379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报价的修正（如有）</w:t>
            </w:r>
          </w:p>
        </w:tc>
        <w:tc>
          <w:tcPr>
            <w:tcW w:w="3315" w:type="pct"/>
            <w:shd w:val="clear" w:color="auto" w:fill="auto"/>
            <w:noWrap w:val="0"/>
            <w:vAlign w:val="center"/>
          </w:tcPr>
          <w:p w14:paraId="09490CE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left"/>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不涉及报价修正，或投标文件报价出现前后不一致时，投标人对修正后的报价予以确认；（如有）</w:t>
            </w:r>
          </w:p>
        </w:tc>
      </w:tr>
      <w:tr w14:paraId="6CFD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642BF2D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7</w:t>
            </w:r>
          </w:p>
        </w:tc>
        <w:tc>
          <w:tcPr>
            <w:tcW w:w="1294" w:type="pct"/>
            <w:noWrap w:val="0"/>
            <w:vAlign w:val="center"/>
          </w:tcPr>
          <w:p w14:paraId="201491E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投标有效期</w:t>
            </w:r>
          </w:p>
        </w:tc>
        <w:tc>
          <w:tcPr>
            <w:tcW w:w="3315" w:type="pct"/>
            <w:noWrap w:val="0"/>
            <w:vAlign w:val="center"/>
          </w:tcPr>
          <w:p w14:paraId="5A28E34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投标文件中承诺的投标有效期满足招标文件中载明的投标有效期的；</w:t>
            </w:r>
          </w:p>
        </w:tc>
      </w:tr>
      <w:tr w14:paraId="5F7C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5A0D704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8</w:t>
            </w:r>
          </w:p>
        </w:tc>
        <w:tc>
          <w:tcPr>
            <w:tcW w:w="1294" w:type="pct"/>
            <w:noWrap w:val="0"/>
            <w:vAlign w:val="center"/>
          </w:tcPr>
          <w:p w14:paraId="4EEBD82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签署、加盖公章</w:t>
            </w:r>
          </w:p>
        </w:tc>
        <w:tc>
          <w:tcPr>
            <w:tcW w:w="3315" w:type="pct"/>
            <w:noWrap w:val="0"/>
            <w:vAlign w:val="center"/>
          </w:tcPr>
          <w:p w14:paraId="238CA74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按照招标文件要求签署、加盖公章的；</w:t>
            </w:r>
          </w:p>
        </w:tc>
      </w:tr>
      <w:tr w14:paraId="5312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472EBA3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9</w:t>
            </w:r>
          </w:p>
        </w:tc>
        <w:tc>
          <w:tcPr>
            <w:tcW w:w="1294" w:type="pct"/>
            <w:noWrap w:val="0"/>
            <w:vAlign w:val="center"/>
          </w:tcPr>
          <w:p w14:paraId="7C5F84A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实质性格式</w:t>
            </w:r>
          </w:p>
        </w:tc>
        <w:tc>
          <w:tcPr>
            <w:tcW w:w="3315" w:type="pct"/>
            <w:noWrap w:val="0"/>
            <w:vAlign w:val="center"/>
          </w:tcPr>
          <w:p w14:paraId="712AB58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标记为“实质性格式”的文件均按招标文件要求提供；</w:t>
            </w:r>
          </w:p>
        </w:tc>
      </w:tr>
      <w:tr w14:paraId="6543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32E120B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10</w:t>
            </w:r>
          </w:p>
        </w:tc>
        <w:tc>
          <w:tcPr>
            <w:tcW w:w="1294" w:type="pct"/>
            <w:noWrap w:val="0"/>
            <w:vAlign w:val="center"/>
          </w:tcPr>
          <w:p w14:paraId="1E05802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实质性条款响应</w:t>
            </w:r>
          </w:p>
        </w:tc>
        <w:tc>
          <w:tcPr>
            <w:tcW w:w="3315" w:type="pct"/>
            <w:noWrap w:val="0"/>
            <w:vAlign w:val="center"/>
          </w:tcPr>
          <w:p w14:paraId="38B1590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投标文件满足招标文件第</w:t>
            </w:r>
            <w:r>
              <w:rPr>
                <w:rFonts w:hint="eastAsia" w:ascii="宋体" w:hAnsi="宋体" w:cs="宋体"/>
                <w:color w:val="auto"/>
                <w:kern w:val="0"/>
                <w:sz w:val="21"/>
                <w:szCs w:val="21"/>
                <w:highlight w:val="none"/>
                <w:lang w:val="en-US" w:eastAsia="zh-CN"/>
              </w:rPr>
              <w:t>五</w:t>
            </w:r>
            <w:r>
              <w:rPr>
                <w:rFonts w:hint="eastAsia" w:ascii="宋体" w:hAnsi="宋体" w:eastAsia="宋体" w:cs="宋体"/>
                <w:color w:val="auto"/>
                <w:kern w:val="0"/>
                <w:sz w:val="21"/>
                <w:szCs w:val="21"/>
                <w:highlight w:val="none"/>
              </w:rPr>
              <w:t>章《采购需求》中实质性条款（斜体且有下划线部分的、或者加“★”号的、或者以文字说明</w:t>
            </w:r>
            <w:r>
              <w:rPr>
                <w:rFonts w:hint="eastAsia" w:ascii="宋体" w:hAnsi="宋体" w:cs="宋体"/>
                <w:color w:val="auto"/>
                <w:kern w:val="0"/>
                <w:sz w:val="21"/>
                <w:szCs w:val="21"/>
                <w:highlight w:val="none"/>
                <w:lang w:val="en-US" w:eastAsia="zh-CN"/>
              </w:rPr>
              <w:t>等</w:t>
            </w:r>
            <w:r>
              <w:rPr>
                <w:rFonts w:hint="eastAsia" w:ascii="宋体" w:hAnsi="宋体" w:eastAsia="宋体" w:cs="宋体"/>
                <w:color w:val="auto"/>
                <w:kern w:val="0"/>
                <w:sz w:val="21"/>
                <w:szCs w:val="21"/>
                <w:highlight w:val="none"/>
              </w:rPr>
              <w:t>属于实质性要求的内容）要求的，在</w:t>
            </w:r>
            <w:r>
              <w:rPr>
                <w:rFonts w:hint="eastAsia" w:ascii="宋体" w:hAnsi="宋体" w:cs="宋体"/>
                <w:color w:val="auto"/>
                <w:kern w:val="0"/>
                <w:sz w:val="21"/>
                <w:szCs w:val="21"/>
                <w:highlight w:val="none"/>
                <w:lang w:val="en-US" w:eastAsia="zh-CN"/>
              </w:rPr>
              <w:t>投标文件中</w:t>
            </w:r>
            <w:r>
              <w:rPr>
                <w:rFonts w:hint="eastAsia" w:ascii="宋体" w:hAnsi="宋体" w:eastAsia="宋体" w:cs="宋体"/>
                <w:color w:val="auto"/>
                <w:kern w:val="0"/>
                <w:sz w:val="21"/>
                <w:szCs w:val="21"/>
                <w:highlight w:val="none"/>
              </w:rPr>
              <w:t>逐项提供相关证明材料。</w:t>
            </w:r>
          </w:p>
        </w:tc>
      </w:tr>
      <w:tr w14:paraId="7AC7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235A92E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11</w:t>
            </w:r>
          </w:p>
        </w:tc>
        <w:tc>
          <w:tcPr>
            <w:tcW w:w="1294" w:type="pct"/>
            <w:noWrap w:val="0"/>
            <w:vAlign w:val="center"/>
          </w:tcPr>
          <w:p w14:paraId="685AFCF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分包承担主体资质（如有）</w:t>
            </w:r>
          </w:p>
        </w:tc>
        <w:tc>
          <w:tcPr>
            <w:tcW w:w="3315" w:type="pct"/>
            <w:noWrap w:val="0"/>
            <w:vAlign w:val="center"/>
          </w:tcPr>
          <w:p w14:paraId="3FBA5CE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分包承担主体具备《投标人须知资料表》载明的资质条件且提供了资质证书</w:t>
            </w:r>
            <w:r>
              <w:rPr>
                <w:rFonts w:hint="eastAsia" w:ascii="宋体" w:hAnsi="宋体" w:eastAsia="宋体" w:cs="宋体"/>
                <w:color w:val="auto"/>
                <w:kern w:val="0"/>
                <w:sz w:val="21"/>
                <w:szCs w:val="21"/>
                <w:highlight w:val="none"/>
                <w:shd w:val="clear"/>
                <w:lang w:eastAsia="zh-CN"/>
              </w:rPr>
              <w:t>复印</w:t>
            </w:r>
            <w:r>
              <w:rPr>
                <w:rFonts w:hint="eastAsia" w:ascii="宋体" w:hAnsi="宋体" w:eastAsia="宋体" w:cs="宋体"/>
                <w:color w:val="auto"/>
                <w:kern w:val="0"/>
                <w:sz w:val="21"/>
                <w:szCs w:val="21"/>
                <w:highlight w:val="none"/>
                <w:shd w:val="clear"/>
              </w:rPr>
              <w:t>件</w:t>
            </w:r>
            <w:r>
              <w:rPr>
                <w:rFonts w:hint="eastAsia" w:ascii="宋体" w:hAnsi="宋体" w:eastAsia="宋体" w:cs="宋体"/>
                <w:color w:val="auto"/>
                <w:kern w:val="0"/>
                <w:sz w:val="21"/>
                <w:szCs w:val="21"/>
                <w:highlight w:val="none"/>
              </w:rPr>
              <w:t>；（如有）</w:t>
            </w:r>
          </w:p>
        </w:tc>
      </w:tr>
      <w:tr w14:paraId="2EC2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566DA64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12</w:t>
            </w:r>
          </w:p>
        </w:tc>
        <w:tc>
          <w:tcPr>
            <w:tcW w:w="1294" w:type="pct"/>
            <w:noWrap w:val="0"/>
            <w:vAlign w:val="center"/>
          </w:tcPr>
          <w:p w14:paraId="12264AF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分包意向协议（如有）</w:t>
            </w:r>
          </w:p>
        </w:tc>
        <w:tc>
          <w:tcPr>
            <w:tcW w:w="3315" w:type="pct"/>
            <w:noWrap w:val="0"/>
            <w:vAlign w:val="center"/>
          </w:tcPr>
          <w:p w14:paraId="54CC6CB4">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按招标文件规定签订并提供分包意向协议原件；（如有）</w:t>
            </w:r>
          </w:p>
        </w:tc>
      </w:tr>
      <w:tr w14:paraId="138B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431CFD0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13</w:t>
            </w:r>
          </w:p>
        </w:tc>
        <w:tc>
          <w:tcPr>
            <w:tcW w:w="1294" w:type="pct"/>
            <w:noWrap w:val="0"/>
            <w:vAlign w:val="center"/>
          </w:tcPr>
          <w:p w14:paraId="3D8F39E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进口产品（如有）</w:t>
            </w:r>
          </w:p>
        </w:tc>
        <w:tc>
          <w:tcPr>
            <w:tcW w:w="3315" w:type="pct"/>
            <w:noWrap w:val="0"/>
            <w:vAlign w:val="center"/>
          </w:tcPr>
          <w:p w14:paraId="7204775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招标文件不接受进口产品投标的内容时，投标人所投产品非进口产品的；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如有</w:t>
            </w:r>
            <w:r>
              <w:rPr>
                <w:rFonts w:hint="eastAsia" w:ascii="宋体" w:hAnsi="宋体" w:cs="宋体"/>
                <w:color w:val="auto"/>
                <w:sz w:val="21"/>
                <w:szCs w:val="21"/>
                <w:highlight w:val="none"/>
                <w:lang w:eastAsia="zh-CN"/>
              </w:rPr>
              <w:t>）</w:t>
            </w:r>
          </w:p>
        </w:tc>
      </w:tr>
      <w:tr w14:paraId="5844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15645EC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14</w:t>
            </w:r>
          </w:p>
        </w:tc>
        <w:tc>
          <w:tcPr>
            <w:tcW w:w="1294" w:type="pct"/>
            <w:noWrap w:val="0"/>
            <w:vAlign w:val="center"/>
          </w:tcPr>
          <w:p w14:paraId="1130205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国家有关部门对投标人的投标产品有强制性规定或要求的</w:t>
            </w:r>
          </w:p>
        </w:tc>
        <w:tc>
          <w:tcPr>
            <w:tcW w:w="3315" w:type="pct"/>
            <w:noWrap w:val="0"/>
            <w:vAlign w:val="center"/>
          </w:tcPr>
          <w:p w14:paraId="34001F84">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国家有关部门对</w:t>
            </w:r>
            <w:r>
              <w:rPr>
                <w:rFonts w:hint="eastAsia" w:ascii="宋体" w:hAnsi="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的投标产品有强制性规定或要求的，如有下列情形的，</w:t>
            </w:r>
            <w:r>
              <w:rPr>
                <w:rFonts w:hint="eastAsia" w:ascii="宋体" w:hAnsi="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的投标产品应符合相应规定或要求，并提供证明文件电子件：1）采购的产品若属于《节能产品政府采购品目清单》范围中政府强制采购产品，则</w:t>
            </w:r>
            <w:r>
              <w:rPr>
                <w:rFonts w:hint="eastAsia" w:ascii="宋体" w:hAnsi="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所报产品必须获得国家确定的认证机构出具的、处于有效期之内的节能产品认证证书；2）国家有特殊信息安全要求的项目，采购产品涉及无线局域网产品和含有无线局域网功能的计算机、通信设备、打印机、复印机、投影仪等产品的，投标产品须为符合国家无线局域网安全标准并通过国家产品认证的产品；</w:t>
            </w:r>
          </w:p>
        </w:tc>
      </w:tr>
      <w:tr w14:paraId="1355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51F5622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15</w:t>
            </w:r>
          </w:p>
        </w:tc>
        <w:tc>
          <w:tcPr>
            <w:tcW w:w="1294" w:type="pct"/>
            <w:noWrap w:val="0"/>
            <w:vAlign w:val="center"/>
          </w:tcPr>
          <w:p w14:paraId="598C068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公平竞争</w:t>
            </w:r>
          </w:p>
        </w:tc>
        <w:tc>
          <w:tcPr>
            <w:tcW w:w="3315" w:type="pct"/>
            <w:noWrap w:val="0"/>
            <w:vAlign w:val="center"/>
          </w:tcPr>
          <w:p w14:paraId="5D9A1B3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投标人遵循公平竞争的原则，不存在恶意串通，妨碍其他投标人的竞争行为，不存在损害采购人或者其他投标人的合法权益情形的；</w:t>
            </w:r>
          </w:p>
        </w:tc>
      </w:tr>
      <w:tr w14:paraId="663C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23BB1DE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16</w:t>
            </w:r>
          </w:p>
        </w:tc>
        <w:tc>
          <w:tcPr>
            <w:tcW w:w="1294" w:type="pct"/>
            <w:noWrap w:val="0"/>
            <w:vAlign w:val="center"/>
          </w:tcPr>
          <w:p w14:paraId="6C0BE4A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串通投标</w:t>
            </w:r>
          </w:p>
        </w:tc>
        <w:tc>
          <w:tcPr>
            <w:tcW w:w="3315" w:type="pct"/>
            <w:noWrap w:val="0"/>
            <w:vAlign w:val="center"/>
          </w:tcPr>
          <w:p w14:paraId="6ADE19B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存在《政府采购货物和服务招标投标管理办法》视为投标人串通投标的情形：（一）不同投标人的投标文件由同一单位或者个人编制；（二）不同投标人委托同一单位或者个人办理投标事宜（包含使用同一MAC地址的计算机提交或者解密电子</w:t>
            </w:r>
            <w:r>
              <w:rPr>
                <w:rFonts w:hint="eastAsia" w:ascii="宋体" w:hAnsi="宋体" w:cs="宋体"/>
                <w:color w:val="auto"/>
                <w:sz w:val="21"/>
                <w:szCs w:val="21"/>
                <w:highlight w:val="none"/>
                <w:lang w:eastAsia="zh-CN"/>
              </w:rPr>
              <w:t>投标文件</w:t>
            </w:r>
            <w:r>
              <w:rPr>
                <w:rFonts w:hint="eastAsia" w:ascii="宋体" w:hAnsi="宋体" w:eastAsia="宋体" w:cs="宋体"/>
                <w:color w:val="auto"/>
                <w:sz w:val="21"/>
                <w:szCs w:val="21"/>
                <w:highlight w:val="none"/>
              </w:rPr>
              <w:t>的情形）；（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1399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shd w:val="clear" w:color="auto" w:fill="auto"/>
            <w:noWrap w:val="0"/>
            <w:vAlign w:val="center"/>
          </w:tcPr>
          <w:p w14:paraId="3997D4A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leftChars="0" w:right="0" w:rightChars="0"/>
              <w:jc w:val="center"/>
              <w:textAlignment w:val="auto"/>
              <w:outlineLvl w:val="9"/>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17</w:t>
            </w:r>
          </w:p>
        </w:tc>
        <w:tc>
          <w:tcPr>
            <w:tcW w:w="1294" w:type="pct"/>
            <w:noWrap w:val="0"/>
            <w:vAlign w:val="center"/>
          </w:tcPr>
          <w:p w14:paraId="0451BAD4">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附加条件</w:t>
            </w:r>
          </w:p>
        </w:tc>
        <w:tc>
          <w:tcPr>
            <w:tcW w:w="3315" w:type="pct"/>
            <w:noWrap w:val="0"/>
            <w:vAlign w:val="center"/>
          </w:tcPr>
          <w:p w14:paraId="6D8E2C6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投标文件未含有采购人不能接受的附加条件的；</w:t>
            </w:r>
          </w:p>
        </w:tc>
      </w:tr>
      <w:tr w14:paraId="4A65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 w:type="pct"/>
            <w:noWrap w:val="0"/>
            <w:vAlign w:val="center"/>
          </w:tcPr>
          <w:p w14:paraId="2DFAB5C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center"/>
              <w:textAlignment w:val="auto"/>
              <w:outlineLvl w:val="9"/>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18</w:t>
            </w:r>
          </w:p>
        </w:tc>
        <w:tc>
          <w:tcPr>
            <w:tcW w:w="1294" w:type="pct"/>
            <w:noWrap w:val="0"/>
            <w:vAlign w:val="center"/>
          </w:tcPr>
          <w:p w14:paraId="2D8EA34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其他无效情形</w:t>
            </w:r>
          </w:p>
        </w:tc>
        <w:tc>
          <w:tcPr>
            <w:tcW w:w="3315" w:type="pct"/>
            <w:noWrap w:val="0"/>
            <w:vAlign w:val="center"/>
          </w:tcPr>
          <w:p w14:paraId="3A30D98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380" w:lineRule="exact"/>
              <w:ind w:left="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投标人、投标文件不存在不符合法律、法规和招标文件规定的其他无效情形。</w:t>
            </w:r>
          </w:p>
        </w:tc>
      </w:tr>
    </w:tbl>
    <w:p w14:paraId="632B0C32">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2</w:t>
      </w:r>
      <w:r>
        <w:rPr>
          <w:rFonts w:hint="eastAsia" w:ascii="宋体" w:hAnsi="宋体" w:eastAsia="宋体" w:cs="宋体"/>
          <w:b/>
          <w:bCs/>
          <w:i w:val="0"/>
          <w:iCs w:val="0"/>
          <w:color w:val="auto"/>
          <w:sz w:val="21"/>
          <w:szCs w:val="21"/>
          <w:highlight w:val="none"/>
          <w:lang w:val="en-US" w:eastAsia="zh-CN"/>
        </w:rPr>
        <w:t xml:space="preserve"> </w:t>
      </w:r>
      <w:r>
        <w:rPr>
          <w:rFonts w:hint="eastAsia" w:ascii="宋体" w:hAnsi="宋体" w:eastAsia="宋体" w:cs="宋体"/>
          <w:b/>
          <w:bCs/>
          <w:i w:val="0"/>
          <w:iCs w:val="0"/>
          <w:color w:val="auto"/>
          <w:sz w:val="21"/>
          <w:szCs w:val="21"/>
          <w:highlight w:val="none"/>
        </w:rPr>
        <w:t>投标文件有关事项的澄清或者说明</w:t>
      </w:r>
    </w:p>
    <w:p w14:paraId="1AC8371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为了有助于对</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进行审查、评价和比较，</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可以书面方式要求</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中含义不明确、对同类问题表述不一致或者明显文字和计算错误的内容作必要的澄清、说明或者补正。</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的澄清、说明或者补正应当采用书面形式并加盖公章，或者由法定代表人或其授权的代表签字。</w:t>
      </w:r>
    </w:p>
    <w:p w14:paraId="6A6E9EC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可要求</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就澄清的问题作出答复，该答复经</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代表的签字认可，将作为</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内容的一部分。</w:t>
      </w:r>
    </w:p>
    <w:p w14:paraId="34E886C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在进行澄清、说明、答辩或补正时，不得改变投标的价格（校核时发现的算术错误除外）、超出</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的范围及改变</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的实质性内容。</w:t>
      </w:r>
    </w:p>
    <w:p w14:paraId="04A550A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拒不按照</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要求作出澄清、说明或者补正的，作为</w:t>
      </w:r>
      <w:r>
        <w:rPr>
          <w:rFonts w:hint="eastAsia" w:ascii="宋体" w:hAnsi="宋体" w:eastAsia="宋体" w:cs="宋体"/>
          <w:b/>
          <w:bCs/>
          <w:color w:val="auto"/>
          <w:sz w:val="21"/>
          <w:szCs w:val="21"/>
          <w:highlight w:val="none"/>
        </w:rPr>
        <w:t>无效投标处理</w:t>
      </w:r>
      <w:r>
        <w:rPr>
          <w:rFonts w:hint="eastAsia" w:ascii="宋体" w:hAnsi="宋体" w:eastAsia="宋体" w:cs="宋体"/>
          <w:color w:val="auto"/>
          <w:sz w:val="21"/>
          <w:szCs w:val="21"/>
          <w:highlight w:val="none"/>
        </w:rPr>
        <w:t>。</w:t>
      </w:r>
    </w:p>
    <w:p w14:paraId="175BD3B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评标委员会对投标文件的判定，只依据投标内容本身，不依靠开标后的任何外来证明。投标截止时间后，投标人对投标报价或其他实质性内容修正的函件和增加的任何优惠条件，一律不得作为评标、定标的依据。</w:t>
      </w:r>
    </w:p>
    <w:p w14:paraId="58AE0C6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政府采购异常低价问题</w:t>
      </w:r>
    </w:p>
    <w:p w14:paraId="219A3DA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2.6.1</w:t>
      </w:r>
      <w:r>
        <w:rPr>
          <w:rFonts w:hint="eastAsia" w:ascii="宋体" w:hAnsi="宋体" w:eastAsia="宋体" w:cs="宋体"/>
          <w:color w:val="auto"/>
          <w:sz w:val="21"/>
          <w:szCs w:val="21"/>
          <w:highlight w:val="none"/>
          <w:lang w:val="en-US" w:eastAsia="zh-CN"/>
        </w:rPr>
        <w:t>根据《财政部关于推动解决政府采购异常低价问题的通知》（财库〔2026〕2 号</w:t>
      </w:r>
      <w:r>
        <w:rPr>
          <w:rFonts w:hint="eastAsia" w:ascii="宋体" w:hAnsi="宋体" w:cs="宋体"/>
          <w:color w:val="auto"/>
          <w:sz w:val="21"/>
          <w:szCs w:val="21"/>
          <w:highlight w:val="none"/>
          <w:lang w:val="en-US" w:eastAsia="zh-CN"/>
        </w:rPr>
        <w:t>）</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en-US" w:eastAsia="zh-CN"/>
        </w:rPr>
        <w:t>政府采购评审中出现下列情形之一的，</w:t>
      </w: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应当启动异常低价投标（响应）审查程序：</w:t>
      </w:r>
    </w:p>
    <w:p w14:paraId="55F16FD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① </w:t>
      </w:r>
      <w:r>
        <w:rPr>
          <w:rFonts w:hint="eastAsia" w:ascii="宋体" w:hAnsi="宋体" w:eastAsia="宋体" w:cs="宋体"/>
          <w:color w:val="auto"/>
          <w:sz w:val="21"/>
          <w:szCs w:val="21"/>
          <w:highlight w:val="none"/>
          <w:lang w:val="en-US" w:eastAsia="zh-CN"/>
        </w:rPr>
        <w:t>投标（响应）报价低于全部通过符合性审查供应商投标（响应）报价平均值</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%的，即投标（响应）报价</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全部通过符合性审查供应商投标（响应）报价平均值×</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w:t>
      </w:r>
    </w:p>
    <w:p w14:paraId="1A7AE0D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② </w:t>
      </w:r>
      <w:r>
        <w:rPr>
          <w:rFonts w:hint="eastAsia" w:ascii="宋体" w:hAnsi="宋体" w:eastAsia="宋体" w:cs="宋体"/>
          <w:color w:val="auto"/>
          <w:sz w:val="21"/>
          <w:szCs w:val="21"/>
          <w:highlight w:val="none"/>
          <w:lang w:val="en-US" w:eastAsia="zh-CN"/>
        </w:rPr>
        <w:t>投标（响应）报价低于通过符合性审查的次低报价供应商投标（响应）报价</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%的，即投标（响应）报价</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通过符合性审查的次低报价供应商投标（响应）报价×</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w:t>
      </w:r>
    </w:p>
    <w:p w14:paraId="71C0414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③ </w:t>
      </w:r>
      <w:r>
        <w:rPr>
          <w:rFonts w:hint="eastAsia" w:ascii="宋体" w:hAnsi="宋体" w:eastAsia="宋体" w:cs="宋体"/>
          <w:color w:val="auto"/>
          <w:sz w:val="21"/>
          <w:szCs w:val="21"/>
          <w:highlight w:val="none"/>
          <w:lang w:val="en-US" w:eastAsia="zh-CN"/>
        </w:rPr>
        <w:t>投标（响应）报价低于采购项目最高限价</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%的，即投标（响应）报价</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采购项目最高限价×</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w:t>
      </w:r>
    </w:p>
    <w:p w14:paraId="425CBE1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④ 评标委员会</w:t>
      </w:r>
      <w:r>
        <w:rPr>
          <w:rFonts w:hint="eastAsia" w:ascii="宋体" w:hAnsi="宋体" w:eastAsia="宋体" w:cs="宋体"/>
          <w:color w:val="auto"/>
          <w:sz w:val="21"/>
          <w:szCs w:val="21"/>
          <w:highlight w:val="none"/>
          <w:lang w:val="en-US" w:eastAsia="zh-CN"/>
        </w:rPr>
        <w:t>基于专业判断，认为供应商报价过低，有可能影响产品质量或者不能诚信履约的其他情形。</w:t>
      </w:r>
    </w:p>
    <w:p w14:paraId="1ED10AC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2.6.2 评标委员会</w:t>
      </w:r>
      <w:r>
        <w:rPr>
          <w:rFonts w:hint="eastAsia" w:ascii="宋体" w:hAnsi="宋体" w:eastAsia="宋体" w:cs="宋体"/>
          <w:color w:val="auto"/>
          <w:sz w:val="21"/>
          <w:szCs w:val="21"/>
          <w:highlight w:val="none"/>
          <w:lang w:val="en-US" w:eastAsia="zh-CN"/>
        </w:rPr>
        <w:t>启动异常低价投标（响应）审查后，属于前述</w:t>
      </w:r>
      <w:r>
        <w:rPr>
          <w:rFonts w:hint="eastAsia" w:ascii="宋体" w:hAnsi="宋体" w:cs="宋体"/>
          <w:color w:val="auto"/>
          <w:sz w:val="21"/>
          <w:szCs w:val="21"/>
          <w:highlight w:val="none"/>
          <w:lang w:val="en-US" w:eastAsia="zh-CN"/>
        </w:rPr>
        <w:t>2.6.1中</w:t>
      </w:r>
      <w:r>
        <w:rPr>
          <w:rFonts w:hint="eastAsia" w:ascii="宋体" w:hAnsi="宋体" w:eastAsia="宋体" w:cs="宋体"/>
          <w:color w:val="auto"/>
          <w:sz w:val="21"/>
          <w:szCs w:val="21"/>
          <w:highlight w:val="none"/>
          <w:lang w:val="en-US" w:eastAsia="zh-CN"/>
        </w:rPr>
        <w:t>第</w:t>
      </w:r>
      <w:r>
        <w:rPr>
          <w:rFonts w:hint="eastAsia" w:ascii="宋体" w:hAnsi="宋体" w:cs="宋体"/>
          <w:color w:val="auto"/>
          <w:sz w:val="21"/>
          <w:szCs w:val="21"/>
          <w:highlight w:val="none"/>
          <w:lang w:val="en-US" w:eastAsia="zh-CN"/>
        </w:rPr>
        <w:t>①</w:t>
      </w:r>
      <w:r>
        <w:rPr>
          <w:rFonts w:hint="eastAsia" w:ascii="宋体" w:hAnsi="宋体" w:eastAsia="宋体" w:cs="宋体"/>
          <w:color w:val="auto"/>
          <w:sz w:val="21"/>
          <w:szCs w:val="21"/>
          <w:highlight w:val="none"/>
          <w:lang w:val="en-US" w:eastAsia="zh-CN"/>
        </w:rPr>
        <w:t>项至第</w:t>
      </w:r>
      <w:r>
        <w:rPr>
          <w:rFonts w:hint="eastAsia" w:ascii="宋体" w:hAnsi="宋体" w:cs="宋体"/>
          <w:color w:val="auto"/>
          <w:sz w:val="21"/>
          <w:szCs w:val="21"/>
          <w:highlight w:val="none"/>
          <w:lang w:val="en-US" w:eastAsia="zh-CN"/>
        </w:rPr>
        <w:t>④</w:t>
      </w:r>
      <w:r>
        <w:rPr>
          <w:rFonts w:hint="eastAsia" w:ascii="宋体" w:hAnsi="宋体" w:eastAsia="宋体" w:cs="宋体"/>
          <w:color w:val="auto"/>
          <w:sz w:val="21"/>
          <w:szCs w:val="21"/>
          <w:highlight w:val="none"/>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s="宋体"/>
          <w:color w:val="auto"/>
          <w:sz w:val="21"/>
          <w:szCs w:val="21"/>
          <w:highlight w:val="none"/>
          <w:lang w:val="en-US" w:eastAsia="zh-CN"/>
        </w:rPr>
        <w:t>③</w:t>
      </w:r>
      <w:r>
        <w:rPr>
          <w:rFonts w:hint="eastAsia" w:ascii="宋体" w:hAnsi="宋体" w:eastAsia="宋体" w:cs="宋体"/>
          <w:color w:val="auto"/>
          <w:sz w:val="21"/>
          <w:szCs w:val="21"/>
          <w:highlight w:val="none"/>
          <w:lang w:val="en-US" w:eastAsia="zh-CN"/>
        </w:rPr>
        <w:t>项情形，供应商已随投标（响应）文件一并提交相关书面说明及必要的证明材料的，在评审现场可不再重复提交。</w:t>
      </w:r>
    </w:p>
    <w:p w14:paraId="0B56759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应当将其作为无效投标（响应）处理。</w:t>
      </w:r>
    </w:p>
    <w:p w14:paraId="142F029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投标报价须包含招标文件全部内容，如分项报价表有缺漏视为已含在其他各项报价中，将不对投标总价进行调整。评标委员会有权要求投标人在规定的时间内对此进行书面确认，投标人不确认的，视为将一个采购包中的内容拆开投标，其</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w:t>
      </w:r>
    </w:p>
    <w:p w14:paraId="76291FF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投标文件报价出现前后不一致的，按照下列规定修正：</w:t>
      </w:r>
    </w:p>
    <w:p w14:paraId="073BDE2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.1招标文件对于报价修正是否另有规定：</w:t>
      </w:r>
    </w:p>
    <w:p w14:paraId="7838ED3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有，具体规定为：______________</w:t>
      </w:r>
    </w:p>
    <w:p w14:paraId="4E9706C6">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无，按下述2.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.7项规定修正。</w:t>
      </w:r>
    </w:p>
    <w:p w14:paraId="1549B91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.2单独递交的开标一览表（报价表）与投标文件中开标一览表（报价表）内容不一致的，以单独递交的开标一览表（报价表）为准；</w:t>
      </w:r>
    </w:p>
    <w:p w14:paraId="1C9588A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.3投标文件中开标一览表（报价表）内容与投标文件中相应内容不一致的，以开标一览表（报价表）为准；</w:t>
      </w:r>
    </w:p>
    <w:p w14:paraId="48CCA1F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.4大写金额和小写金额不一致的，以大写金额为准；</w:t>
      </w:r>
    </w:p>
    <w:p w14:paraId="7C1F8F3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.5单价金额小数点或者百分比有明显错位的，以开标一览表的总价为准，并修改单价；</w:t>
      </w:r>
    </w:p>
    <w:p w14:paraId="419C60E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.6总价金额与按单价汇总金额不一致的，以单价金额计算结果为准。</w:t>
      </w:r>
    </w:p>
    <w:p w14:paraId="7689A03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.7同时出现两种以上不一致的，按照前款规定的顺序修正。修正后的报价经投标人书面确认后产生约束力，投标人不确认的，其</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w:t>
      </w:r>
    </w:p>
    <w:p w14:paraId="59A850F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落实政府采购政策的价格调整：只有符合第二章《投标人须知》5.2条规定情形的，可以享受中小企业扶持政策，用扣除后的价格参加评审；否则，评标时价格不予扣除。</w:t>
      </w:r>
    </w:p>
    <w:p w14:paraId="20C27B0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.1对于未预留份额专门面向中小企业采购的采购项目，以及预留份额项目中的非预留部分采购包，对</w:t>
      </w:r>
      <w:r>
        <w:rPr>
          <w:rFonts w:hint="eastAsia" w:ascii="宋体" w:hAnsi="宋体" w:eastAsia="宋体" w:cs="宋体"/>
          <w:b/>
          <w:bCs/>
          <w:color w:val="auto"/>
          <w:sz w:val="21"/>
          <w:szCs w:val="21"/>
          <w:highlight w:val="none"/>
        </w:rPr>
        <w:t>小微企业</w:t>
      </w:r>
      <w:r>
        <w:rPr>
          <w:rFonts w:hint="eastAsia" w:ascii="宋体" w:hAnsi="宋体" w:eastAsia="宋体" w:cs="宋体"/>
          <w:color w:val="auto"/>
          <w:sz w:val="21"/>
          <w:szCs w:val="21"/>
          <w:highlight w:val="none"/>
        </w:rPr>
        <w:t>报价给予</w:t>
      </w:r>
      <w:r>
        <w:rPr>
          <w:rFonts w:hint="eastAsia" w:ascii="宋体" w:hAnsi="宋体" w:eastAsia="宋体" w:cs="宋体"/>
          <w:b/>
          <w:bCs/>
          <w:color w:val="auto"/>
          <w:sz w:val="21"/>
          <w:szCs w:val="21"/>
          <w:highlight w:val="none"/>
          <w:u w:val="single"/>
          <w:lang w:val="en-US" w:eastAsia="zh-CN"/>
        </w:rPr>
        <w:t>2</w:t>
      </w:r>
      <w:r>
        <w:rPr>
          <w:rFonts w:hint="eastAsia" w:ascii="宋体" w:hAnsi="宋体" w:eastAsia="宋体" w:cs="宋体"/>
          <w:b/>
          <w:bCs/>
          <w:color w:val="auto"/>
          <w:sz w:val="21"/>
          <w:szCs w:val="21"/>
          <w:highlight w:val="none"/>
          <w:u w:val="single"/>
        </w:rPr>
        <w:t>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工程项目为5%）</w:t>
      </w:r>
      <w:r>
        <w:rPr>
          <w:rFonts w:hint="eastAsia" w:ascii="宋体" w:hAnsi="宋体" w:eastAsia="宋体" w:cs="宋体"/>
          <w:color w:val="auto"/>
          <w:sz w:val="21"/>
          <w:szCs w:val="21"/>
          <w:highlight w:val="none"/>
        </w:rPr>
        <w:t>的扣除，用扣除后的价格参加评审。</w:t>
      </w:r>
    </w:p>
    <w:p w14:paraId="44D42F8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.2对于未预留份额专门面向中小企业采购的采购项目，以及预留份额项目中的非预留部分采购包，且接受大中型企业与</w:t>
      </w:r>
      <w:r>
        <w:rPr>
          <w:rFonts w:hint="eastAsia" w:ascii="宋体" w:hAnsi="宋体" w:eastAsia="宋体" w:cs="宋体"/>
          <w:b/>
          <w:bCs/>
          <w:color w:val="auto"/>
          <w:sz w:val="21"/>
          <w:szCs w:val="21"/>
          <w:highlight w:val="none"/>
        </w:rPr>
        <w:t>小微企业</w:t>
      </w:r>
      <w:r>
        <w:rPr>
          <w:rFonts w:hint="eastAsia" w:ascii="宋体" w:hAnsi="宋体" w:eastAsia="宋体" w:cs="宋体"/>
          <w:color w:val="auto"/>
          <w:sz w:val="21"/>
          <w:szCs w:val="21"/>
          <w:highlight w:val="none"/>
        </w:rPr>
        <w:t>组成联合体或者允许大中型企业向一家或者多家</w:t>
      </w:r>
      <w:r>
        <w:rPr>
          <w:rFonts w:hint="eastAsia" w:ascii="宋体" w:hAnsi="宋体" w:eastAsia="宋体" w:cs="宋体"/>
          <w:b/>
          <w:bCs/>
          <w:color w:val="auto"/>
          <w:sz w:val="21"/>
          <w:szCs w:val="21"/>
          <w:highlight w:val="none"/>
        </w:rPr>
        <w:t>小微企业</w:t>
      </w:r>
      <w:r>
        <w:rPr>
          <w:rFonts w:hint="eastAsia" w:ascii="宋体" w:hAnsi="宋体" w:eastAsia="宋体" w:cs="宋体"/>
          <w:color w:val="auto"/>
          <w:sz w:val="21"/>
          <w:szCs w:val="21"/>
          <w:highlight w:val="none"/>
        </w:rPr>
        <w:t>分包的采购项目，对于联合协议或者分包意向协议约定</w:t>
      </w:r>
      <w:r>
        <w:rPr>
          <w:rFonts w:hint="eastAsia" w:ascii="宋体" w:hAnsi="宋体" w:eastAsia="宋体" w:cs="宋体"/>
          <w:b/>
          <w:bCs/>
          <w:color w:val="auto"/>
          <w:sz w:val="21"/>
          <w:szCs w:val="21"/>
          <w:highlight w:val="none"/>
        </w:rPr>
        <w:t>小微企业</w:t>
      </w:r>
      <w:r>
        <w:rPr>
          <w:rFonts w:hint="eastAsia" w:ascii="宋体" w:hAnsi="宋体" w:eastAsia="宋体" w:cs="宋体"/>
          <w:color w:val="auto"/>
          <w:sz w:val="21"/>
          <w:szCs w:val="21"/>
          <w:highlight w:val="none"/>
        </w:rPr>
        <w:t>的合同份额占到合同总金额30%以上的联合体或者大中型企业的报价给予</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的扣除，用扣除后的价格参加评审。</w:t>
      </w:r>
    </w:p>
    <w:p w14:paraId="09E14B2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.3组成联合体或者接受分包的小微企业与联合体内其他企业、分包企业之间存在直接控股、管理关系的，不享受价格扣除优惠政策。</w:t>
      </w:r>
    </w:p>
    <w:p w14:paraId="740A4E4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.4价格扣除比例对小型企业和微型企业同等对待，不作区分。</w:t>
      </w:r>
    </w:p>
    <w:p w14:paraId="6407889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.5中小企业参加政府采购活动，应当按照招标文件给定的格式出具《中小企业声明函》，否则不得享受相关中小企业扶持政策。</w:t>
      </w:r>
    </w:p>
    <w:p w14:paraId="6586DEA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.6监狱企业提供了由省级以上监狱管理局（常州市含教育矫治局）、戒毒管理局（含新疆生产建设兵团）出具的属于监狱企业的证明文件的，视同小微企业。</w:t>
      </w:r>
    </w:p>
    <w:p w14:paraId="002B5B5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.7残疾人福利性单位按招标文件要求提供了《残疾人福利性单位声明函》（见附件）的，视同小微企业。</w:t>
      </w:r>
    </w:p>
    <w:p w14:paraId="5AAB8C3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.8若投标人同时属于小型或微型企业、监狱企业、残疾人福利性单位中的两种及以上，将不重复享受小微企业价格扣减的优惠政策。</w:t>
      </w:r>
    </w:p>
    <w:p w14:paraId="38B0863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strike/>
          <w:dstrike w:val="0"/>
          <w:color w:val="auto"/>
          <w:sz w:val="21"/>
          <w:szCs w:val="21"/>
          <w:highlight w:val="none"/>
        </w:rPr>
      </w:pPr>
      <w:r>
        <w:rPr>
          <w:rFonts w:hint="eastAsia" w:ascii="宋体" w:hAnsi="宋体" w:cs="宋体"/>
          <w:color w:val="auto"/>
          <w:sz w:val="21"/>
          <w:szCs w:val="21"/>
          <w:highlight w:val="none"/>
          <w:lang w:val="en-US" w:eastAsia="zh-CN"/>
        </w:rPr>
        <w:t>2.10</w:t>
      </w:r>
      <w:r>
        <w:rPr>
          <w:rFonts w:hint="eastAsia" w:ascii="宋体" w:hAnsi="宋体" w:eastAsia="宋体" w:cs="宋体"/>
          <w:color w:val="auto"/>
          <w:sz w:val="21"/>
          <w:szCs w:val="21"/>
          <w:highlight w:val="none"/>
        </w:rPr>
        <w:t>落实政府采购政策的价格调整：</w:t>
      </w:r>
      <w:r>
        <w:rPr>
          <w:rFonts w:hint="eastAsia" w:ascii="宋体" w:hAnsi="宋体" w:eastAsia="宋体" w:cs="宋体"/>
          <w:strike w:val="0"/>
          <w:dstrike w:val="0"/>
          <w:color w:val="auto"/>
          <w:sz w:val="21"/>
          <w:szCs w:val="21"/>
          <w:highlight w:val="none"/>
        </w:rPr>
        <w:t>只有符合本国产品标准</w:t>
      </w:r>
      <w:r>
        <w:rPr>
          <w:rFonts w:hint="eastAsia" w:ascii="宋体" w:hAnsi="宋体" w:cs="宋体"/>
          <w:strike w:val="0"/>
          <w:dstrike w:val="0"/>
          <w:color w:val="auto"/>
          <w:sz w:val="21"/>
          <w:szCs w:val="21"/>
          <w:highlight w:val="none"/>
          <w:lang w:eastAsia="zh-CN"/>
        </w:rPr>
        <w:t>、</w:t>
      </w:r>
      <w:r>
        <w:rPr>
          <w:rFonts w:hint="eastAsia" w:ascii="宋体" w:hAnsi="宋体" w:cs="宋体"/>
          <w:strike w:val="0"/>
          <w:dstrike w:val="0"/>
          <w:color w:val="auto"/>
          <w:sz w:val="21"/>
          <w:szCs w:val="21"/>
          <w:highlight w:val="none"/>
          <w:lang w:val="en-US" w:eastAsia="zh-CN"/>
        </w:rPr>
        <w:t>适用范围的本国产品</w:t>
      </w:r>
      <w:r>
        <w:rPr>
          <w:rFonts w:hint="eastAsia" w:ascii="宋体" w:hAnsi="宋体" w:eastAsia="宋体" w:cs="宋体"/>
          <w:strike w:val="0"/>
          <w:dstrike w:val="0"/>
          <w:color w:val="auto"/>
          <w:sz w:val="21"/>
          <w:szCs w:val="21"/>
          <w:highlight w:val="none"/>
        </w:rPr>
        <w:t>，可以享受</w:t>
      </w:r>
      <w:r>
        <w:rPr>
          <w:rFonts w:hint="eastAsia" w:ascii="宋体" w:hAnsi="宋体" w:cs="宋体"/>
          <w:strike w:val="0"/>
          <w:dstrike w:val="0"/>
          <w:color w:val="auto"/>
          <w:sz w:val="21"/>
          <w:szCs w:val="21"/>
          <w:highlight w:val="none"/>
          <w:lang w:val="en-US" w:eastAsia="zh-CN"/>
        </w:rPr>
        <w:t>本国产品的支持政策</w:t>
      </w:r>
      <w:r>
        <w:rPr>
          <w:rFonts w:hint="eastAsia" w:ascii="宋体" w:hAnsi="宋体" w:eastAsia="宋体" w:cs="宋体"/>
          <w:strike w:val="0"/>
          <w:dstrike w:val="0"/>
          <w:color w:val="auto"/>
          <w:sz w:val="21"/>
          <w:szCs w:val="21"/>
          <w:highlight w:val="none"/>
        </w:rPr>
        <w:t>，用扣除后的价格参加评审；否则，评标时价格不予扣除。</w:t>
      </w:r>
    </w:p>
    <w:p w14:paraId="6D5115C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2.10.1</w:t>
      </w:r>
      <w:r>
        <w:rPr>
          <w:rFonts w:hint="eastAsia" w:ascii="宋体" w:hAnsi="宋体" w:eastAsia="宋体" w:cs="宋体"/>
          <w:color w:val="auto"/>
          <w:sz w:val="21"/>
          <w:szCs w:val="21"/>
          <w:highlight w:val="none"/>
        </w:rPr>
        <w:t>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44FD45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2.10.2</w:t>
      </w:r>
      <w:r>
        <w:rPr>
          <w:rFonts w:hint="eastAsia" w:ascii="宋体" w:hAnsi="宋体" w:eastAsia="宋体" w:cs="宋体"/>
          <w:color w:val="auto"/>
          <w:sz w:val="21"/>
          <w:szCs w:val="21"/>
          <w:highlight w:val="none"/>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5F2C0D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2.10.3</w:t>
      </w:r>
      <w:r>
        <w:rPr>
          <w:rFonts w:hint="eastAsia" w:ascii="宋体" w:hAnsi="宋体" w:eastAsia="宋体" w:cs="宋体"/>
          <w:color w:val="auto"/>
          <w:sz w:val="21"/>
          <w:szCs w:val="21"/>
          <w:highlight w:val="none"/>
        </w:rPr>
        <w:t>本项目政府采购活动中既有本国产品又有非本国产品参与竞争的，依法对本国产品给予价格评审优惠，对本国产品的报价给予20%的价格扣除，用扣除后的价格参与评审。</w:t>
      </w:r>
    </w:p>
    <w:p w14:paraId="72CF7FA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采购项目或者采购包中含有多种产品，供应商为该采购项目或者采购包提供的符合本国产品标准的产品成本之和占该供应商提供的全部产品成本之和的比例达到80%以上时（供应商需在相关投标报价材料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756E9A5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供应商需按照采购文件的要求提供《关于符合本国产品标准的声明函》（以下简称《声明函》），如不提供将不享受本国产品价格评审优惠。</w:t>
      </w:r>
    </w:p>
    <w:p w14:paraId="4281489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需在《声明函》中逐一、准确填写产品名称、厂名、生产厂址三项信息（《声明函》中用斜线划除的地方无需填写），三项信息中任意一项未填写的视为该项产品不符合本国产品标准，不享受本国产品价格评审优惠。</w:t>
      </w:r>
    </w:p>
    <w:p w14:paraId="40FBDA0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6D0CB8F1">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投标文件的比较和评价</w:t>
      </w:r>
    </w:p>
    <w:p w14:paraId="6BE4F1C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3.1评标委员会将按照招标文件中规定的评标方法和标准，对符合性审查合格的投标文件进行商务和技术评估，综合比较与评价；未通过符合性审查的投标文件不得进入比较与评价。</w:t>
      </w:r>
    </w:p>
    <w:p w14:paraId="22AB6A3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3.2评标方法和评标标准</w:t>
      </w:r>
    </w:p>
    <w:p w14:paraId="265EA5C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3.2.1本项目采用的评标方法为：</w:t>
      </w:r>
    </w:p>
    <w:p w14:paraId="45A1FBCA">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0E83A7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□最低评标价法，指投标文件满足招标文件全部实质性要求，且投标报价最低的投标人为中标候选人的评标方法。</w:t>
      </w:r>
    </w:p>
    <w:p w14:paraId="5DD3E4C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eastAsia" w:ascii="宋体" w:hAnsi="宋体" w:eastAsia="宋体" w:cs="宋体"/>
          <w:b/>
          <w:bCs/>
          <w:color w:val="auto"/>
          <w:sz w:val="21"/>
          <w:szCs w:val="21"/>
          <w:highlight w:val="none"/>
        </w:rPr>
        <w:t>投标无效</w:t>
      </w:r>
      <w:r>
        <w:rPr>
          <w:rFonts w:hint="eastAsia" w:ascii="宋体" w:hAnsi="宋体" w:eastAsia="宋体" w:cs="宋体"/>
          <w:color w:val="auto"/>
          <w:sz w:val="21"/>
          <w:szCs w:val="21"/>
          <w:highlight w:val="none"/>
        </w:rPr>
        <w:t>。</w:t>
      </w:r>
    </w:p>
    <w:p w14:paraId="60312F34">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随机抽取</w:t>
      </w:r>
    </w:p>
    <w:p w14:paraId="3F2C483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□其他方式，具体要求：</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none"/>
          <w:lang w:val="en-US" w:eastAsia="zh-CN"/>
        </w:rPr>
        <w:t>。</w:t>
      </w:r>
    </w:p>
    <w:p w14:paraId="4533DF4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3.2.3非政府强制采购的节能产品或环境标志产品，依据品目清单和认证证书实施政府优先采购。优先采购的具体规定（如涉及）</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rPr>
        <w:t>。</w:t>
      </w:r>
    </w:p>
    <w:p w14:paraId="10A21D11">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确定中标候选人名单</w:t>
      </w:r>
    </w:p>
    <w:p w14:paraId="50AAC1A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5FC51728">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随机抽取</w:t>
      </w:r>
    </w:p>
    <w:p w14:paraId="2086161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□其他方式，具体要求：</w:t>
      </w:r>
      <w:r>
        <w:rPr>
          <w:rFonts w:hint="eastAsia" w:ascii="宋体" w:hAnsi="宋体" w:eastAsia="宋体" w:cs="宋体"/>
          <w:color w:val="auto"/>
          <w:sz w:val="21"/>
          <w:szCs w:val="21"/>
          <w:highlight w:val="none"/>
          <w:u w:val="single"/>
          <w:lang w:val="en-US" w:eastAsia="zh-CN"/>
        </w:rPr>
        <w:t xml:space="preserve">   /  </w:t>
      </w:r>
    </w:p>
    <w:p w14:paraId="47317F4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18F56FD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4.3采用最低评标价法时，评标结果按本章2.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调整后的投标报价由低到高顺序排列。投标报价相同的并列。投标文件满足招标文件全部实质性要求且投标报价最低的投标人为排名第一的中标候选人。</w:t>
      </w:r>
    </w:p>
    <w:p w14:paraId="6BAE346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4.4评标委员会要对评分汇总情况进行复核，特别是对排名第一的、报价最低的、投标或</w:t>
      </w:r>
      <w:r>
        <w:rPr>
          <w:rFonts w:hint="eastAsia" w:ascii="宋体" w:hAnsi="宋体" w:cs="宋体"/>
          <w:color w:val="auto"/>
          <w:sz w:val="21"/>
          <w:szCs w:val="21"/>
          <w:highlight w:val="none"/>
          <w:lang w:val="en-US" w:eastAsia="zh-CN"/>
        </w:rPr>
        <w:t>投标文件</w:t>
      </w:r>
      <w:r>
        <w:rPr>
          <w:rFonts w:hint="eastAsia" w:ascii="宋体" w:hAnsi="宋体" w:eastAsia="宋体" w:cs="宋体"/>
          <w:color w:val="auto"/>
          <w:sz w:val="21"/>
          <w:szCs w:val="21"/>
          <w:highlight w:val="none"/>
        </w:rPr>
        <w:t>被认定为无效的情形进行重点复核。</w:t>
      </w:r>
    </w:p>
    <w:p w14:paraId="541C0A1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4.5评标委员会将根据各投标人的评标排序，依次推荐本项目（各采购包）的中标候选人，起草并签署评标报告。本项目（各采购包）评标委员会共（各采购包）推荐不少于3名中标候选人。</w:t>
      </w:r>
    </w:p>
    <w:p w14:paraId="3D58B0B4">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报告违法行为</w:t>
      </w:r>
    </w:p>
    <w:p w14:paraId="6D809863">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5.1评标委员会在评标过程中发现投标人有行贿、提供虚假材料或者串通等违法行为时，有向采购人、采购代理机构或者有关部门报告的职责。</w:t>
      </w:r>
    </w:p>
    <w:p w14:paraId="4AEF1728">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13D69CA6">
      <w:pPr>
        <w:keepNext w:val="0"/>
        <w:keepLines w:val="0"/>
        <w:pageBreakBefore w:val="0"/>
        <w:widowControl w:val="0"/>
        <w:shd w:val="clear"/>
        <w:tabs>
          <w:tab w:val="left" w:pos="360"/>
          <w:tab w:val="left" w:pos="900"/>
        </w:tabs>
        <w:kinsoku/>
        <w:wordWrap/>
        <w:overflowPunct/>
        <w:topLinePunct/>
        <w:autoSpaceDE/>
        <w:autoSpaceDN/>
        <w:bidi w:val="0"/>
        <w:adjustRightInd w:val="0"/>
        <w:snapToGrid w:val="0"/>
        <w:spacing w:line="360" w:lineRule="auto"/>
        <w:jc w:val="center"/>
        <w:outlineLvl w:val="1"/>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二</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评标标准</w:t>
      </w:r>
    </w:p>
    <w:tbl>
      <w:tblPr>
        <w:tblStyle w:val="18"/>
        <w:tblW w:w="11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885"/>
        <w:gridCol w:w="710"/>
        <w:gridCol w:w="5693"/>
        <w:gridCol w:w="2159"/>
      </w:tblGrid>
      <w:tr w14:paraId="398B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4E962E66">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85" w:type="dxa"/>
            <w:noWrap w:val="0"/>
            <w:vAlign w:val="center"/>
          </w:tcPr>
          <w:p w14:paraId="59BE2BAD">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w:t>
            </w:r>
          </w:p>
        </w:tc>
        <w:tc>
          <w:tcPr>
            <w:tcW w:w="710" w:type="dxa"/>
            <w:noWrap w:val="0"/>
            <w:vAlign w:val="center"/>
          </w:tcPr>
          <w:p w14:paraId="2582BB08">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5693" w:type="dxa"/>
            <w:noWrap w:val="0"/>
            <w:vAlign w:val="center"/>
          </w:tcPr>
          <w:p w14:paraId="77DDED0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c>
          <w:tcPr>
            <w:tcW w:w="2159" w:type="dxa"/>
            <w:noWrap w:val="0"/>
            <w:vAlign w:val="center"/>
          </w:tcPr>
          <w:p w14:paraId="13231F12">
            <w:pPr>
              <w:pStyle w:val="39"/>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3684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53A70ED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885" w:type="dxa"/>
            <w:shd w:val="clear" w:color="auto" w:fill="auto"/>
            <w:noWrap w:val="0"/>
            <w:vAlign w:val="center"/>
          </w:tcPr>
          <w:p w14:paraId="7E79B93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价格分</w:t>
            </w:r>
          </w:p>
        </w:tc>
        <w:tc>
          <w:tcPr>
            <w:tcW w:w="710" w:type="dxa"/>
            <w:shd w:val="clear" w:color="auto" w:fill="auto"/>
            <w:noWrap w:val="0"/>
            <w:vAlign w:val="center"/>
          </w:tcPr>
          <w:p w14:paraId="1FFEF13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15</w:t>
            </w:r>
          </w:p>
        </w:tc>
        <w:tc>
          <w:tcPr>
            <w:tcW w:w="5693" w:type="dxa"/>
            <w:noWrap w:val="0"/>
            <w:vAlign w:val="center"/>
          </w:tcPr>
          <w:p w14:paraId="33DDE008">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采用低价优先法计算，即满足招标文件要求且投标价格最低的投标报价为评标基准价，其价格分为满分。其他投标人的价格分统一按照下列公式计算：</w:t>
            </w:r>
          </w:p>
          <w:p w14:paraId="1F00E9A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投标报价得分＝（评标基准价/投标报价）×分值×</w:t>
            </w: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rPr>
              <w:t>。</w:t>
            </w:r>
          </w:p>
          <w:p w14:paraId="51401E2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本项目属于专门面向中小企业采购的项目，不再享受第四章《评标程序、评标方法和评标标准》2.9条规定。</w:t>
            </w:r>
          </w:p>
        </w:tc>
        <w:tc>
          <w:tcPr>
            <w:tcW w:w="2159" w:type="dxa"/>
            <w:noWrap w:val="0"/>
            <w:vAlign w:val="center"/>
          </w:tcPr>
          <w:p w14:paraId="50BFA9B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此处投标报价指经过报价修正，及因落实政府采购政策进行价格调整后的报价，详见第四章《</w:t>
            </w:r>
            <w:r>
              <w:rPr>
                <w:rFonts w:hint="eastAsia" w:ascii="宋体" w:hAnsi="宋体" w:eastAsia="宋体" w:cs="宋体"/>
                <w:color w:val="auto"/>
                <w:sz w:val="21"/>
                <w:szCs w:val="21"/>
                <w:highlight w:val="none"/>
                <w:lang w:val="en-US" w:eastAsia="zh-CN"/>
              </w:rPr>
              <w:t>评标程序、</w:t>
            </w:r>
            <w:r>
              <w:rPr>
                <w:rFonts w:hint="eastAsia" w:ascii="宋体" w:hAnsi="宋体" w:eastAsia="宋体" w:cs="宋体"/>
                <w:color w:val="auto"/>
                <w:sz w:val="21"/>
                <w:szCs w:val="21"/>
                <w:highlight w:val="none"/>
              </w:rPr>
              <w:t>评标方法和评标标准》2.</w:t>
            </w: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cs="宋体"/>
                <w:color w:val="auto"/>
                <w:sz w:val="21"/>
                <w:szCs w:val="21"/>
                <w:highlight w:val="none"/>
                <w:lang w:val="en-US" w:eastAsia="zh-CN"/>
              </w:rPr>
              <w:t>及2.10</w:t>
            </w:r>
            <w:r>
              <w:rPr>
                <w:rFonts w:hint="eastAsia" w:ascii="宋体" w:hAnsi="宋体" w:eastAsia="宋体" w:cs="宋体"/>
                <w:color w:val="auto"/>
                <w:sz w:val="21"/>
                <w:szCs w:val="21"/>
                <w:highlight w:val="none"/>
              </w:rPr>
              <w:t>。</w:t>
            </w:r>
          </w:p>
        </w:tc>
      </w:tr>
      <w:tr w14:paraId="1AFA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33878E6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w:t>
            </w:r>
          </w:p>
        </w:tc>
        <w:tc>
          <w:tcPr>
            <w:tcW w:w="1885" w:type="dxa"/>
            <w:noWrap w:val="0"/>
            <w:vAlign w:val="center"/>
          </w:tcPr>
          <w:p w14:paraId="0D1C682D">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主观分</w:t>
            </w:r>
          </w:p>
        </w:tc>
        <w:tc>
          <w:tcPr>
            <w:tcW w:w="710" w:type="dxa"/>
            <w:noWrap w:val="0"/>
            <w:vAlign w:val="center"/>
          </w:tcPr>
          <w:p w14:paraId="521F4871">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37</w:t>
            </w:r>
          </w:p>
        </w:tc>
        <w:tc>
          <w:tcPr>
            <w:tcW w:w="5693" w:type="dxa"/>
            <w:noWrap w:val="0"/>
            <w:vAlign w:val="center"/>
          </w:tcPr>
          <w:p w14:paraId="0740493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textAlignment w:val="auto"/>
              <w:outlineLvl w:val="9"/>
              <w:rPr>
                <w:rFonts w:hint="eastAsia" w:ascii="宋体" w:hAnsi="宋体" w:eastAsia="宋体" w:cs="宋体"/>
                <w:color w:val="auto"/>
                <w:sz w:val="21"/>
                <w:szCs w:val="21"/>
                <w:highlight w:val="none"/>
              </w:rPr>
            </w:pPr>
          </w:p>
        </w:tc>
        <w:tc>
          <w:tcPr>
            <w:tcW w:w="2159" w:type="dxa"/>
            <w:noWrap w:val="0"/>
            <w:vAlign w:val="center"/>
          </w:tcPr>
          <w:p w14:paraId="21CAE2B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right="0"/>
              <w:textAlignment w:val="auto"/>
              <w:outlineLvl w:val="9"/>
              <w:rPr>
                <w:rFonts w:hint="eastAsia" w:ascii="宋体" w:hAnsi="宋体" w:eastAsia="宋体" w:cs="宋体"/>
                <w:color w:val="auto"/>
                <w:sz w:val="21"/>
                <w:szCs w:val="21"/>
                <w:highlight w:val="none"/>
              </w:rPr>
            </w:pPr>
          </w:p>
        </w:tc>
      </w:tr>
      <w:tr w14:paraId="0AA6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7C3FF9FB">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w:t>
            </w:r>
          </w:p>
        </w:tc>
        <w:tc>
          <w:tcPr>
            <w:tcW w:w="1885" w:type="dxa"/>
            <w:shd w:val="clear" w:color="auto" w:fill="auto"/>
            <w:noWrap w:val="0"/>
            <w:vAlign w:val="center"/>
          </w:tcPr>
          <w:p w14:paraId="3033DCA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firstLine="28"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组织方案</w:t>
            </w:r>
          </w:p>
        </w:tc>
        <w:tc>
          <w:tcPr>
            <w:tcW w:w="710" w:type="dxa"/>
            <w:shd w:val="clear" w:color="auto" w:fill="auto"/>
            <w:noWrap w:val="0"/>
            <w:vAlign w:val="center"/>
          </w:tcPr>
          <w:p w14:paraId="47B130D3">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firstLine="28"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default" w:ascii="宋体" w:hAnsi="宋体" w:cs="宋体"/>
                <w:color w:val="auto"/>
                <w:sz w:val="21"/>
                <w:szCs w:val="21"/>
                <w:highlight w:val="none"/>
                <w:lang w:val="en-US" w:eastAsia="zh-CN"/>
              </w:rPr>
              <w:t>6</w:t>
            </w:r>
          </w:p>
        </w:tc>
        <w:tc>
          <w:tcPr>
            <w:tcW w:w="5693" w:type="dxa"/>
            <w:shd w:val="clear" w:color="auto" w:fill="auto"/>
            <w:noWrap w:val="0"/>
            <w:vAlign w:val="center"/>
          </w:tcPr>
          <w:p w14:paraId="022B21B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投标人根据本项目的项目采购需求及特性，提供针对本项目成立的项目组织架构、项目组织规章制度、各岗位分工及岗位职责等内容。</w:t>
            </w:r>
          </w:p>
          <w:p w14:paraId="5699334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方案全面，操作性强，科学合理的得</w:t>
            </w:r>
            <w:r>
              <w:rPr>
                <w:rFonts w:hint="default"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p w14:paraId="6C29CBF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方案较全面，操作性较强，较科学合理的得</w:t>
            </w:r>
            <w:r>
              <w:rPr>
                <w:rFonts w:hint="default"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w:t>
            </w:r>
          </w:p>
          <w:p w14:paraId="01DA4AB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方案简单、欠缺，科学合理性欠缺的得</w:t>
            </w:r>
            <w:r>
              <w:rPr>
                <w:rFonts w:hint="default"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 不提供不得分。</w:t>
            </w:r>
          </w:p>
        </w:tc>
        <w:tc>
          <w:tcPr>
            <w:tcW w:w="2159" w:type="dxa"/>
            <w:shd w:val="clear" w:color="auto" w:fill="auto"/>
            <w:noWrap w:val="0"/>
            <w:vAlign w:val="center"/>
          </w:tcPr>
          <w:p w14:paraId="142B8DE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根据投标文件中投标人提供的本项内容评分。不提供不得分。</w:t>
            </w:r>
          </w:p>
        </w:tc>
      </w:tr>
      <w:tr w14:paraId="5F8D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62AD6CC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w:t>
            </w:r>
          </w:p>
        </w:tc>
        <w:tc>
          <w:tcPr>
            <w:tcW w:w="1885" w:type="dxa"/>
            <w:shd w:val="clear" w:color="auto" w:fill="auto"/>
            <w:noWrap w:val="0"/>
            <w:vAlign w:val="center"/>
          </w:tcPr>
          <w:p w14:paraId="22D007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食堂餐饮服务及管理实施方案</w:t>
            </w:r>
          </w:p>
        </w:tc>
        <w:tc>
          <w:tcPr>
            <w:tcW w:w="710" w:type="dxa"/>
            <w:shd w:val="clear" w:color="auto" w:fill="auto"/>
            <w:noWrap w:val="0"/>
            <w:vAlign w:val="center"/>
          </w:tcPr>
          <w:p w14:paraId="54AFDE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7</w:t>
            </w:r>
          </w:p>
        </w:tc>
        <w:tc>
          <w:tcPr>
            <w:tcW w:w="5693" w:type="dxa"/>
            <w:shd w:val="clear" w:color="auto" w:fill="auto"/>
            <w:noWrap w:val="0"/>
            <w:vAlign w:val="center"/>
          </w:tcPr>
          <w:p w14:paraId="2DFC4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zh-CN" w:eastAsia="zh-CN" w:bidi="ar-SA"/>
              </w:rPr>
              <w:t>投标人根据本项目的项目</w:t>
            </w:r>
            <w:r>
              <w:rPr>
                <w:rFonts w:hint="eastAsia" w:ascii="宋体" w:hAnsi="宋体" w:cs="宋体"/>
                <w:color w:val="auto"/>
                <w:kern w:val="2"/>
                <w:sz w:val="21"/>
                <w:szCs w:val="21"/>
                <w:highlight w:val="none"/>
                <w:lang w:val="en-US" w:eastAsia="zh-CN" w:bidi="ar-SA"/>
              </w:rPr>
              <w:t>采购需求及</w:t>
            </w:r>
            <w:r>
              <w:rPr>
                <w:rFonts w:hint="eastAsia" w:ascii="宋体" w:hAnsi="宋体" w:eastAsia="宋体" w:cs="宋体"/>
                <w:color w:val="auto"/>
                <w:kern w:val="2"/>
                <w:sz w:val="21"/>
                <w:szCs w:val="21"/>
                <w:highlight w:val="none"/>
                <w:lang w:val="zh-CN" w:eastAsia="zh-CN" w:bidi="ar-SA"/>
              </w:rPr>
              <w:t>特性，</w:t>
            </w:r>
            <w:r>
              <w:rPr>
                <w:rFonts w:hint="eastAsia" w:ascii="宋体" w:hAnsi="宋体" w:eastAsia="宋体" w:cs="宋体"/>
                <w:color w:val="auto"/>
                <w:sz w:val="21"/>
                <w:szCs w:val="21"/>
                <w:highlight w:val="none"/>
                <w:lang w:val="en-US" w:eastAsia="zh-CN"/>
              </w:rPr>
              <w:t>提供针对性的</w:t>
            </w:r>
            <w:r>
              <w:rPr>
                <w:rFonts w:hint="eastAsia" w:ascii="宋体" w:hAnsi="宋体" w:cs="宋体"/>
                <w:color w:val="auto"/>
                <w:sz w:val="21"/>
                <w:szCs w:val="21"/>
                <w:highlight w:val="none"/>
                <w:lang w:val="en-US" w:eastAsia="zh-CN"/>
              </w:rPr>
              <w:t>食堂餐饮服务及管理实施方案，</w:t>
            </w:r>
            <w:r>
              <w:rPr>
                <w:rFonts w:hint="eastAsia" w:ascii="宋体" w:hAnsi="宋体" w:cs="宋体"/>
                <w:color w:val="auto"/>
                <w:szCs w:val="21"/>
                <w:highlight w:val="none"/>
              </w:rPr>
              <w:t>包括食堂餐饮服务及管理</w:t>
            </w:r>
            <w:r>
              <w:rPr>
                <w:rFonts w:hint="eastAsia" w:ascii="宋体" w:hAnsi="宋体" w:cs="宋体"/>
                <w:color w:val="auto"/>
                <w:szCs w:val="21"/>
                <w:highlight w:val="none"/>
                <w:lang w:val="en-US" w:eastAsia="zh-CN"/>
              </w:rPr>
              <w:t>标准、</w:t>
            </w:r>
          </w:p>
          <w:p w14:paraId="46515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cs="宋体"/>
                <w:color w:val="auto"/>
                <w:szCs w:val="21"/>
                <w:highlight w:val="none"/>
                <w:lang w:val="en-US" w:eastAsia="zh-CN"/>
              </w:rPr>
              <w:t>后厨管理、</w:t>
            </w:r>
            <w:r>
              <w:rPr>
                <w:rFonts w:hint="eastAsia" w:ascii="宋体" w:hAnsi="宋体" w:cs="宋体"/>
                <w:color w:val="auto"/>
                <w:szCs w:val="21"/>
                <w:highlight w:val="none"/>
              </w:rPr>
              <w:t>餐厅</w:t>
            </w:r>
            <w:r>
              <w:rPr>
                <w:rFonts w:hint="eastAsia" w:ascii="宋体" w:hAnsi="宋体" w:cs="宋体"/>
                <w:color w:val="auto"/>
                <w:szCs w:val="21"/>
                <w:highlight w:val="none"/>
                <w:lang w:val="en-US" w:eastAsia="zh-CN"/>
              </w:rPr>
              <w:t>管理</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菜品多样性及营养搭配、供餐服务及管理、食材物料验收及仓储管理、人员管理、投诉处理及改进等内容。</w:t>
            </w:r>
          </w:p>
          <w:p w14:paraId="26A75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分析</w:t>
            </w:r>
            <w:r>
              <w:rPr>
                <w:rFonts w:hint="eastAsia" w:ascii="宋体" w:hAnsi="宋体" w:eastAsia="宋体" w:cs="宋体"/>
                <w:color w:val="auto"/>
                <w:sz w:val="21"/>
                <w:szCs w:val="21"/>
                <w:highlight w:val="none"/>
                <w:lang w:val="zh-CN" w:eastAsia="zh-CN"/>
              </w:rPr>
              <w:t>详尽、精细，科学性强，操作性强、规范合理的得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zh-CN" w:eastAsia="zh-CN"/>
              </w:rPr>
              <w:t>分；</w:t>
            </w:r>
          </w:p>
          <w:p w14:paraId="731A68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分析</w:t>
            </w:r>
            <w:r>
              <w:rPr>
                <w:rFonts w:hint="eastAsia" w:ascii="宋体" w:hAnsi="宋体" w:cs="宋体"/>
                <w:color w:val="auto"/>
                <w:szCs w:val="21"/>
                <w:highlight w:val="none"/>
                <w:lang w:val="en-US" w:eastAsia="zh-CN"/>
              </w:rPr>
              <w:t>较</w:t>
            </w:r>
            <w:r>
              <w:rPr>
                <w:rFonts w:hint="eastAsia" w:ascii="宋体" w:hAnsi="宋体" w:cs="宋体"/>
                <w:color w:val="auto"/>
                <w:szCs w:val="21"/>
                <w:highlight w:val="none"/>
              </w:rPr>
              <w:t>详尽、精细，科学性</w:t>
            </w:r>
            <w:r>
              <w:rPr>
                <w:rFonts w:hint="eastAsia" w:ascii="宋体" w:hAnsi="宋体" w:cs="宋体"/>
                <w:color w:val="auto"/>
                <w:szCs w:val="21"/>
                <w:highlight w:val="none"/>
                <w:lang w:val="en-US" w:eastAsia="zh-CN"/>
              </w:rPr>
              <w:t>较</w:t>
            </w:r>
            <w:r>
              <w:rPr>
                <w:rFonts w:hint="eastAsia" w:ascii="宋体" w:hAnsi="宋体" w:cs="宋体"/>
                <w:color w:val="auto"/>
                <w:szCs w:val="21"/>
                <w:highlight w:val="none"/>
              </w:rPr>
              <w:t>强，操作性</w:t>
            </w:r>
            <w:r>
              <w:rPr>
                <w:rFonts w:hint="eastAsia" w:ascii="宋体" w:hAnsi="宋体" w:cs="宋体"/>
                <w:color w:val="auto"/>
                <w:szCs w:val="21"/>
                <w:highlight w:val="none"/>
                <w:lang w:val="en-US" w:eastAsia="zh-CN"/>
              </w:rPr>
              <w:t>较</w:t>
            </w:r>
            <w:r>
              <w:rPr>
                <w:rFonts w:hint="eastAsia" w:ascii="宋体" w:hAnsi="宋体" w:cs="宋体"/>
                <w:color w:val="auto"/>
                <w:szCs w:val="21"/>
                <w:highlight w:val="none"/>
              </w:rPr>
              <w:t>强、</w:t>
            </w:r>
            <w:r>
              <w:rPr>
                <w:rFonts w:hint="eastAsia" w:ascii="宋体" w:hAnsi="宋体" w:cs="宋体"/>
                <w:color w:val="auto"/>
                <w:szCs w:val="21"/>
                <w:highlight w:val="none"/>
                <w:lang w:val="en-US" w:eastAsia="zh-CN"/>
              </w:rPr>
              <w:t>较</w:t>
            </w:r>
            <w:r>
              <w:rPr>
                <w:rFonts w:hint="eastAsia" w:ascii="宋体" w:hAnsi="宋体" w:cs="宋体"/>
                <w:color w:val="auto"/>
                <w:szCs w:val="21"/>
                <w:highlight w:val="none"/>
              </w:rPr>
              <w:t>规范合理的得</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p w14:paraId="1B0DE3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分析</w:t>
            </w:r>
            <w:r>
              <w:rPr>
                <w:rFonts w:hint="eastAsia" w:ascii="宋体" w:hAnsi="宋体" w:eastAsia="宋体" w:cs="宋体"/>
                <w:color w:val="auto"/>
                <w:sz w:val="21"/>
                <w:szCs w:val="21"/>
                <w:highlight w:val="none"/>
                <w:lang w:val="zh-CN" w:eastAsia="zh-CN"/>
              </w:rPr>
              <w:t>基本全面，只具有基本科学性、操作性、规范性的得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分；</w:t>
            </w:r>
          </w:p>
          <w:p w14:paraId="1B1CC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outlineLvl w:val="9"/>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分析</w:t>
            </w:r>
            <w:r>
              <w:rPr>
                <w:rFonts w:hint="eastAsia" w:ascii="宋体" w:hAnsi="宋体" w:eastAsia="宋体" w:cs="宋体"/>
                <w:color w:val="auto"/>
                <w:sz w:val="21"/>
                <w:szCs w:val="21"/>
                <w:highlight w:val="none"/>
                <w:lang w:val="zh-CN" w:eastAsia="zh-CN"/>
              </w:rPr>
              <w:t>简单，操作性欠缺，规范欠缺的得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zh-CN" w:eastAsia="zh-CN"/>
              </w:rPr>
              <w:t>分。</w:t>
            </w:r>
            <w:r>
              <w:rPr>
                <w:rFonts w:hint="eastAsia" w:ascii="宋体" w:hAnsi="宋体" w:eastAsia="宋体" w:cs="宋体"/>
                <w:color w:val="auto"/>
                <w:sz w:val="21"/>
                <w:szCs w:val="21"/>
                <w:highlight w:val="none"/>
                <w:lang w:val="en-US" w:eastAsia="zh-CN"/>
              </w:rPr>
              <w:t>不提供不得分。</w:t>
            </w:r>
          </w:p>
        </w:tc>
        <w:tc>
          <w:tcPr>
            <w:tcW w:w="2159" w:type="dxa"/>
            <w:shd w:val="clear" w:color="auto" w:fill="auto"/>
            <w:noWrap w:val="0"/>
            <w:vAlign w:val="center"/>
          </w:tcPr>
          <w:p w14:paraId="34DB346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根据投标文件中投标人提供的本项内容评分。不提供不得分。</w:t>
            </w:r>
          </w:p>
        </w:tc>
      </w:tr>
      <w:tr w14:paraId="678D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51B2936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2.3</w:t>
            </w:r>
          </w:p>
        </w:tc>
        <w:tc>
          <w:tcPr>
            <w:tcW w:w="1885" w:type="dxa"/>
            <w:shd w:val="clear" w:color="auto" w:fill="auto"/>
            <w:noWrap w:val="0"/>
            <w:vAlign w:val="center"/>
          </w:tcPr>
          <w:p w14:paraId="5546F8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安全</w:t>
            </w:r>
            <w:r>
              <w:rPr>
                <w:rFonts w:hint="eastAsia" w:ascii="宋体" w:hAnsi="宋体" w:cs="宋体"/>
                <w:color w:val="auto"/>
                <w:kern w:val="2"/>
                <w:sz w:val="21"/>
                <w:szCs w:val="21"/>
                <w:highlight w:val="none"/>
                <w:lang w:val="en-US" w:eastAsia="zh-CN" w:bidi="ar-SA"/>
              </w:rPr>
              <w:t>及</w:t>
            </w:r>
            <w:r>
              <w:rPr>
                <w:rFonts w:hint="eastAsia" w:ascii="宋体" w:hAnsi="宋体" w:eastAsia="宋体" w:cs="宋体"/>
                <w:color w:val="auto"/>
                <w:kern w:val="2"/>
                <w:sz w:val="21"/>
                <w:szCs w:val="21"/>
                <w:highlight w:val="none"/>
                <w:lang w:val="en-US" w:eastAsia="zh-CN" w:bidi="ar-SA"/>
              </w:rPr>
              <w:t>卫生实施措施方案</w:t>
            </w:r>
          </w:p>
        </w:tc>
        <w:tc>
          <w:tcPr>
            <w:tcW w:w="710" w:type="dxa"/>
            <w:shd w:val="clear" w:color="auto" w:fill="auto"/>
            <w:noWrap w:val="0"/>
            <w:vAlign w:val="center"/>
          </w:tcPr>
          <w:p w14:paraId="504E3D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default" w:ascii="宋体" w:hAnsi="宋体" w:cs="宋体"/>
                <w:color w:val="auto"/>
                <w:kern w:val="2"/>
                <w:sz w:val="21"/>
                <w:szCs w:val="21"/>
                <w:highlight w:val="none"/>
                <w:lang w:val="en-US" w:eastAsia="zh-CN" w:bidi="ar-SA"/>
              </w:rPr>
              <w:t>6</w:t>
            </w:r>
          </w:p>
        </w:tc>
        <w:tc>
          <w:tcPr>
            <w:tcW w:w="5693" w:type="dxa"/>
            <w:shd w:val="clear" w:color="auto" w:fill="auto"/>
            <w:noWrap w:val="0"/>
            <w:vAlign w:val="center"/>
          </w:tcPr>
          <w:p w14:paraId="7B8D91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kern w:val="2"/>
                <w:sz w:val="21"/>
                <w:szCs w:val="21"/>
                <w:highlight w:val="none"/>
                <w:lang w:val="zh-CN" w:eastAsia="zh-CN" w:bidi="ar-SA"/>
              </w:rPr>
              <w:t>投标人根据本项目的项目</w:t>
            </w:r>
            <w:r>
              <w:rPr>
                <w:rFonts w:hint="eastAsia" w:ascii="宋体" w:hAnsi="宋体" w:cs="宋体"/>
                <w:color w:val="auto"/>
                <w:kern w:val="2"/>
                <w:sz w:val="21"/>
                <w:szCs w:val="21"/>
                <w:highlight w:val="none"/>
                <w:lang w:val="en-US" w:eastAsia="zh-CN" w:bidi="ar-SA"/>
              </w:rPr>
              <w:t>采购需求及</w:t>
            </w:r>
            <w:r>
              <w:rPr>
                <w:rFonts w:hint="eastAsia" w:ascii="宋体" w:hAnsi="宋体" w:eastAsia="宋体" w:cs="宋体"/>
                <w:color w:val="auto"/>
                <w:kern w:val="2"/>
                <w:sz w:val="21"/>
                <w:szCs w:val="21"/>
                <w:highlight w:val="none"/>
                <w:lang w:val="zh-CN" w:eastAsia="zh-CN" w:bidi="ar-SA"/>
              </w:rPr>
              <w:t>特性，</w:t>
            </w:r>
            <w:r>
              <w:rPr>
                <w:rFonts w:hint="eastAsia" w:ascii="宋体" w:hAnsi="宋体" w:eastAsia="宋体" w:cs="宋体"/>
                <w:color w:val="auto"/>
                <w:sz w:val="21"/>
                <w:szCs w:val="21"/>
                <w:highlight w:val="none"/>
                <w:lang w:val="en-US" w:eastAsia="zh-CN"/>
              </w:rPr>
              <w:t>提供针对性的</w:t>
            </w:r>
            <w:r>
              <w:rPr>
                <w:rFonts w:hint="eastAsia" w:ascii="宋体" w:hAnsi="宋体" w:eastAsia="宋体" w:cs="宋体"/>
                <w:color w:val="auto"/>
                <w:kern w:val="2"/>
                <w:sz w:val="21"/>
                <w:szCs w:val="21"/>
                <w:highlight w:val="none"/>
                <w:lang w:val="en-US" w:eastAsia="zh-CN" w:bidi="ar-SA"/>
              </w:rPr>
              <w:t>安全、卫生实施措施方案</w:t>
            </w:r>
            <w:r>
              <w:rPr>
                <w:rFonts w:hint="eastAsia" w:ascii="宋体" w:hAnsi="宋体" w:cs="宋体"/>
                <w:color w:val="auto"/>
                <w:kern w:val="2"/>
                <w:sz w:val="21"/>
                <w:szCs w:val="21"/>
                <w:highlight w:val="none"/>
                <w:lang w:val="en-US" w:eastAsia="zh-CN" w:bidi="ar-SA"/>
              </w:rPr>
              <w:t>，</w:t>
            </w:r>
            <w:r>
              <w:rPr>
                <w:rFonts w:hint="eastAsia" w:ascii="宋体" w:hAnsi="宋体" w:cs="宋体"/>
                <w:color w:val="auto"/>
                <w:szCs w:val="21"/>
                <w:highlight w:val="none"/>
              </w:rPr>
              <w:t>包括设施设备安全</w:t>
            </w:r>
            <w:r>
              <w:rPr>
                <w:rFonts w:hint="eastAsia" w:ascii="宋体" w:hAnsi="宋体" w:cs="宋体"/>
                <w:color w:val="auto"/>
                <w:szCs w:val="21"/>
                <w:highlight w:val="none"/>
                <w:lang w:val="en-US" w:eastAsia="zh-CN"/>
              </w:rPr>
              <w:t>使用</w:t>
            </w:r>
            <w:r>
              <w:rPr>
                <w:rFonts w:hint="eastAsia" w:ascii="宋体" w:hAnsi="宋体" w:cs="宋体"/>
                <w:color w:val="auto"/>
                <w:szCs w:val="21"/>
                <w:highlight w:val="none"/>
              </w:rPr>
              <w:t>与卫生</w:t>
            </w:r>
            <w:r>
              <w:rPr>
                <w:rFonts w:hint="eastAsia" w:ascii="宋体" w:hAnsi="宋体" w:cs="宋体"/>
                <w:color w:val="auto"/>
                <w:szCs w:val="21"/>
                <w:highlight w:val="none"/>
                <w:lang w:val="en-US" w:eastAsia="zh-CN"/>
              </w:rPr>
              <w:t>管理措施</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食堂</w:t>
            </w:r>
            <w:r>
              <w:rPr>
                <w:rFonts w:hint="eastAsia" w:ascii="宋体" w:hAnsi="宋体" w:cs="宋体"/>
                <w:color w:val="auto"/>
                <w:szCs w:val="21"/>
                <w:highlight w:val="none"/>
              </w:rPr>
              <w:t>环境</w:t>
            </w:r>
            <w:r>
              <w:rPr>
                <w:rFonts w:hint="eastAsia" w:ascii="宋体" w:hAnsi="宋体" w:cs="宋体"/>
                <w:color w:val="auto"/>
                <w:szCs w:val="21"/>
                <w:highlight w:val="none"/>
                <w:lang w:val="en-US" w:eastAsia="zh-CN"/>
              </w:rPr>
              <w:t>安全及</w:t>
            </w:r>
            <w:r>
              <w:rPr>
                <w:rFonts w:hint="eastAsia" w:ascii="宋体" w:hAnsi="宋体" w:cs="宋体"/>
                <w:color w:val="auto"/>
                <w:szCs w:val="21"/>
                <w:highlight w:val="none"/>
              </w:rPr>
              <w:t>卫生管理措施、餐厨用具安全</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卫生管理措施、</w:t>
            </w:r>
            <w:r>
              <w:rPr>
                <w:rFonts w:hint="eastAsia" w:ascii="宋体" w:hAnsi="宋体" w:cs="宋体"/>
                <w:color w:val="auto"/>
                <w:szCs w:val="21"/>
                <w:highlight w:val="none"/>
                <w:lang w:val="en-US" w:eastAsia="zh-CN"/>
              </w:rPr>
              <w:t>餐品</w:t>
            </w:r>
            <w:r>
              <w:rPr>
                <w:rFonts w:hint="eastAsia" w:ascii="宋体" w:hAnsi="宋体" w:cs="宋体"/>
                <w:color w:val="auto"/>
                <w:szCs w:val="21"/>
                <w:highlight w:val="none"/>
              </w:rPr>
              <w:t>安全</w:t>
            </w:r>
            <w:r>
              <w:rPr>
                <w:rFonts w:hint="eastAsia" w:ascii="宋体" w:hAnsi="宋体" w:cs="宋体"/>
                <w:color w:val="auto"/>
                <w:szCs w:val="21"/>
                <w:highlight w:val="none"/>
                <w:lang w:val="en-US" w:eastAsia="zh-CN"/>
              </w:rPr>
              <w:t>及卫生</w:t>
            </w:r>
            <w:r>
              <w:rPr>
                <w:rFonts w:hint="eastAsia" w:ascii="宋体" w:hAnsi="宋体" w:cs="宋体"/>
                <w:color w:val="auto"/>
                <w:szCs w:val="21"/>
                <w:highlight w:val="none"/>
              </w:rPr>
              <w:t>管理措施、作业</w:t>
            </w:r>
            <w:r>
              <w:rPr>
                <w:rFonts w:hint="eastAsia" w:ascii="宋体" w:hAnsi="宋体" w:cs="宋体"/>
                <w:color w:val="auto"/>
                <w:szCs w:val="21"/>
                <w:highlight w:val="none"/>
                <w:lang w:val="en-US" w:eastAsia="zh-CN"/>
              </w:rPr>
              <w:t>流程</w:t>
            </w:r>
            <w:r>
              <w:rPr>
                <w:rFonts w:hint="eastAsia" w:ascii="宋体" w:hAnsi="宋体" w:cs="宋体"/>
                <w:color w:val="auto"/>
                <w:szCs w:val="21"/>
                <w:highlight w:val="none"/>
              </w:rPr>
              <w:t>安全</w:t>
            </w:r>
            <w:r>
              <w:rPr>
                <w:rFonts w:hint="eastAsia" w:ascii="宋体" w:hAnsi="宋体" w:cs="宋体"/>
                <w:color w:val="auto"/>
                <w:szCs w:val="21"/>
                <w:highlight w:val="none"/>
                <w:lang w:val="en-US" w:eastAsia="zh-CN"/>
              </w:rPr>
              <w:t>及卫生</w:t>
            </w:r>
            <w:r>
              <w:rPr>
                <w:rFonts w:hint="eastAsia" w:ascii="宋体" w:hAnsi="宋体" w:cs="宋体"/>
                <w:color w:val="auto"/>
                <w:szCs w:val="21"/>
                <w:highlight w:val="none"/>
              </w:rPr>
              <w:t>措施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仓储存放安全及卫生管理措施、人员安全及卫生管理措施</w:t>
            </w:r>
            <w:r>
              <w:rPr>
                <w:rFonts w:hint="eastAsia" w:ascii="宋体" w:hAnsi="宋体" w:cs="宋体"/>
                <w:color w:val="auto"/>
                <w:szCs w:val="21"/>
                <w:highlight w:val="none"/>
              </w:rPr>
              <w:t>等</w:t>
            </w:r>
            <w:r>
              <w:rPr>
                <w:rFonts w:hint="eastAsia" w:ascii="宋体" w:hAnsi="宋体" w:cs="宋体"/>
                <w:color w:val="auto"/>
                <w:szCs w:val="21"/>
                <w:highlight w:val="none"/>
                <w:lang w:val="en-US" w:eastAsia="zh-CN"/>
              </w:rPr>
              <w:t>内容。</w:t>
            </w:r>
          </w:p>
          <w:p w14:paraId="7329C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方案详尽、精细，科学性强，操作性强、规范合理的得</w:t>
            </w:r>
            <w:r>
              <w:rPr>
                <w:rFonts w:hint="default"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分；</w:t>
            </w:r>
          </w:p>
          <w:p w14:paraId="1CD598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方案基本全面，只具有基本科学性、操作性、规范性的得</w:t>
            </w:r>
            <w:r>
              <w:rPr>
                <w:rFonts w:hint="default"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分；</w:t>
            </w:r>
          </w:p>
          <w:p w14:paraId="4F2B6F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zh-CN" w:eastAsia="zh-CN"/>
              </w:rPr>
              <w:t>方案简单，操作性欠缺，规范欠缺的得</w:t>
            </w:r>
            <w:r>
              <w:rPr>
                <w:rFonts w:hint="default"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分。未提供不得分。</w:t>
            </w:r>
          </w:p>
        </w:tc>
        <w:tc>
          <w:tcPr>
            <w:tcW w:w="2159" w:type="dxa"/>
            <w:shd w:val="clear" w:color="auto" w:fill="auto"/>
            <w:noWrap w:val="0"/>
            <w:vAlign w:val="center"/>
          </w:tcPr>
          <w:p w14:paraId="413F836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根据投标文件中投标人提供的本项内容评分。不提供不得分。</w:t>
            </w:r>
          </w:p>
        </w:tc>
      </w:tr>
      <w:tr w14:paraId="5CE0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030291B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2.4</w:t>
            </w:r>
          </w:p>
        </w:tc>
        <w:tc>
          <w:tcPr>
            <w:tcW w:w="1885" w:type="dxa"/>
            <w:shd w:val="clear" w:color="auto" w:fill="auto"/>
            <w:noWrap w:val="0"/>
            <w:vAlign w:val="center"/>
          </w:tcPr>
          <w:p w14:paraId="43CFCF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进退场交接方案</w:t>
            </w:r>
          </w:p>
        </w:tc>
        <w:tc>
          <w:tcPr>
            <w:tcW w:w="710" w:type="dxa"/>
            <w:shd w:val="clear" w:color="auto" w:fill="auto"/>
            <w:noWrap w:val="0"/>
            <w:vAlign w:val="center"/>
          </w:tcPr>
          <w:p w14:paraId="18F8A4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5693" w:type="dxa"/>
            <w:shd w:val="clear" w:color="auto" w:fill="auto"/>
            <w:noWrap w:val="0"/>
            <w:vAlign w:val="center"/>
          </w:tcPr>
          <w:p w14:paraId="423F9B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kern w:val="2"/>
                <w:sz w:val="21"/>
                <w:szCs w:val="21"/>
                <w:highlight w:val="none"/>
                <w:lang w:val="zh-CN" w:eastAsia="zh-CN" w:bidi="ar-SA"/>
              </w:rPr>
              <w:t>投标人根据本项目的项目</w:t>
            </w:r>
            <w:r>
              <w:rPr>
                <w:rFonts w:hint="eastAsia" w:ascii="宋体" w:hAnsi="宋体" w:cs="宋体"/>
                <w:color w:val="auto"/>
                <w:kern w:val="2"/>
                <w:sz w:val="21"/>
                <w:szCs w:val="21"/>
                <w:highlight w:val="none"/>
                <w:lang w:val="en-US" w:eastAsia="zh-CN" w:bidi="ar-SA"/>
              </w:rPr>
              <w:t>采购需求及</w:t>
            </w:r>
            <w:r>
              <w:rPr>
                <w:rFonts w:hint="eastAsia" w:ascii="宋体" w:hAnsi="宋体" w:eastAsia="宋体" w:cs="宋体"/>
                <w:color w:val="auto"/>
                <w:kern w:val="2"/>
                <w:sz w:val="21"/>
                <w:szCs w:val="21"/>
                <w:highlight w:val="none"/>
                <w:lang w:val="zh-CN" w:eastAsia="zh-CN" w:bidi="ar-SA"/>
              </w:rPr>
              <w:t>特性，</w:t>
            </w:r>
            <w:r>
              <w:rPr>
                <w:rFonts w:hint="eastAsia" w:ascii="宋体" w:hAnsi="宋体" w:eastAsia="宋体" w:cs="宋体"/>
                <w:color w:val="auto"/>
                <w:sz w:val="21"/>
                <w:szCs w:val="21"/>
                <w:highlight w:val="none"/>
                <w:lang w:val="en-US" w:eastAsia="zh-CN"/>
              </w:rPr>
              <w:t>提供针对性的</w:t>
            </w:r>
            <w:r>
              <w:rPr>
                <w:rFonts w:hint="eastAsia" w:ascii="宋体" w:hAnsi="宋体" w:cs="宋体"/>
                <w:color w:val="auto"/>
                <w:sz w:val="21"/>
                <w:szCs w:val="21"/>
                <w:highlight w:val="none"/>
                <w:lang w:val="en-US" w:eastAsia="zh-CN"/>
              </w:rPr>
              <w:t>进退场交接方案，包括进场、退场时的</w:t>
            </w:r>
            <w:r>
              <w:rPr>
                <w:rFonts w:hint="eastAsia" w:ascii="宋体" w:hAnsi="宋体" w:cs="宋体"/>
                <w:color w:val="auto"/>
                <w:szCs w:val="21"/>
                <w:highlight w:val="none"/>
              </w:rPr>
              <w:t>场地与设施设备交接</w:t>
            </w:r>
            <w:r>
              <w:rPr>
                <w:rFonts w:hint="eastAsia" w:ascii="宋体" w:hAnsi="宋体" w:cs="宋体"/>
                <w:color w:val="auto"/>
                <w:szCs w:val="21"/>
                <w:highlight w:val="none"/>
                <w:lang w:eastAsia="zh-CN"/>
              </w:rPr>
              <w:t>、</w:t>
            </w:r>
            <w:r>
              <w:rPr>
                <w:rFonts w:hint="eastAsia" w:ascii="宋体" w:hAnsi="宋体" w:cs="宋体"/>
                <w:color w:val="auto"/>
                <w:szCs w:val="21"/>
                <w:highlight w:val="none"/>
              </w:rPr>
              <w:t>库存物资交接</w:t>
            </w:r>
            <w:r>
              <w:rPr>
                <w:rFonts w:hint="eastAsia" w:ascii="宋体" w:hAnsi="宋体" w:cs="宋体"/>
                <w:color w:val="auto"/>
                <w:szCs w:val="21"/>
                <w:highlight w:val="none"/>
                <w:lang w:eastAsia="zh-CN"/>
              </w:rPr>
              <w:t>、</w:t>
            </w:r>
            <w:r>
              <w:rPr>
                <w:rFonts w:hint="eastAsia" w:ascii="宋体" w:hAnsi="宋体" w:cs="宋体"/>
                <w:color w:val="auto"/>
                <w:szCs w:val="21"/>
                <w:highlight w:val="none"/>
              </w:rPr>
              <w:t>全套档案资料</w:t>
            </w:r>
            <w:r>
              <w:rPr>
                <w:rFonts w:hint="eastAsia" w:ascii="宋体" w:hAnsi="宋体" w:cs="宋体"/>
                <w:color w:val="auto"/>
                <w:szCs w:val="21"/>
                <w:highlight w:val="none"/>
                <w:lang w:val="en-US" w:eastAsia="zh-CN"/>
              </w:rPr>
              <w:t>交接</w:t>
            </w:r>
            <w:r>
              <w:rPr>
                <w:rFonts w:hint="eastAsia" w:ascii="宋体" w:hAnsi="宋体" w:cs="宋体"/>
                <w:color w:val="auto"/>
                <w:szCs w:val="21"/>
                <w:highlight w:val="none"/>
                <w:lang w:eastAsia="zh-CN"/>
              </w:rPr>
              <w:t>、</w:t>
            </w:r>
            <w:r>
              <w:rPr>
                <w:rFonts w:hint="eastAsia" w:ascii="宋体" w:hAnsi="宋体" w:cs="宋体"/>
                <w:color w:val="auto"/>
                <w:szCs w:val="21"/>
                <w:highlight w:val="none"/>
              </w:rPr>
              <w:t>财务事项清算</w:t>
            </w:r>
            <w:r>
              <w:rPr>
                <w:rFonts w:hint="eastAsia" w:ascii="宋体" w:hAnsi="宋体" w:cs="宋体"/>
                <w:color w:val="auto"/>
                <w:szCs w:val="21"/>
                <w:highlight w:val="none"/>
                <w:lang w:val="en-US" w:eastAsia="zh-CN"/>
              </w:rPr>
              <w:t>与交接、人员安排、第三方合作（食材供货商、设备设施维保方等）供应商交接等内容。</w:t>
            </w:r>
          </w:p>
          <w:p w14:paraId="08B56F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方案详尽、精细，科学性强，操作性强、规范合理的得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分；</w:t>
            </w:r>
          </w:p>
          <w:p w14:paraId="56471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方案基本全面，只具有基本科学性、操作性、规范性的得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分；</w:t>
            </w:r>
          </w:p>
          <w:p w14:paraId="4E7290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zh-CN" w:eastAsia="zh-CN"/>
              </w:rPr>
              <w:t>方案简单，操作性欠缺，规范欠缺的得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分。未提供不得分。</w:t>
            </w:r>
            <w:r>
              <w:rPr>
                <w:rFonts w:hint="eastAsia" w:ascii="宋体" w:hAnsi="宋体" w:eastAsia="宋体" w:cs="宋体"/>
                <w:color w:val="auto"/>
                <w:sz w:val="21"/>
                <w:szCs w:val="21"/>
                <w:highlight w:val="none"/>
                <w:lang w:val="en-US" w:eastAsia="zh-CN"/>
              </w:rPr>
              <w:t xml:space="preserve"> </w:t>
            </w:r>
          </w:p>
        </w:tc>
        <w:tc>
          <w:tcPr>
            <w:tcW w:w="2159" w:type="dxa"/>
            <w:shd w:val="clear" w:color="auto" w:fill="auto"/>
            <w:noWrap w:val="0"/>
            <w:vAlign w:val="center"/>
          </w:tcPr>
          <w:p w14:paraId="63605353">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根据投标文件中投标人提供的本项内容评分。不提供不得分。</w:t>
            </w:r>
          </w:p>
        </w:tc>
      </w:tr>
      <w:tr w14:paraId="6BEA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6B75408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2.5</w:t>
            </w:r>
          </w:p>
        </w:tc>
        <w:tc>
          <w:tcPr>
            <w:tcW w:w="1885" w:type="dxa"/>
            <w:shd w:val="clear" w:color="auto" w:fill="auto"/>
            <w:noWrap w:val="0"/>
            <w:vAlign w:val="center"/>
          </w:tcPr>
          <w:p w14:paraId="4F82EC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应急预案</w:t>
            </w:r>
          </w:p>
        </w:tc>
        <w:tc>
          <w:tcPr>
            <w:tcW w:w="710" w:type="dxa"/>
            <w:shd w:val="clear" w:color="auto" w:fill="auto"/>
            <w:noWrap w:val="0"/>
            <w:vAlign w:val="center"/>
          </w:tcPr>
          <w:p w14:paraId="4D3C8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6</w:t>
            </w:r>
          </w:p>
        </w:tc>
        <w:tc>
          <w:tcPr>
            <w:tcW w:w="5693" w:type="dxa"/>
            <w:shd w:val="clear" w:color="auto" w:fill="auto"/>
            <w:noWrap w:val="0"/>
            <w:vAlign w:val="center"/>
          </w:tcPr>
          <w:p w14:paraId="3B4B51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kern w:val="2"/>
                <w:sz w:val="21"/>
                <w:szCs w:val="21"/>
                <w:highlight w:val="none"/>
                <w:lang w:val="zh-CN" w:eastAsia="zh-CN" w:bidi="ar-SA"/>
              </w:rPr>
              <w:t>投标人根据本项目的项目</w:t>
            </w:r>
            <w:r>
              <w:rPr>
                <w:rFonts w:hint="eastAsia" w:ascii="宋体" w:hAnsi="宋体" w:cs="宋体"/>
                <w:color w:val="auto"/>
                <w:kern w:val="2"/>
                <w:sz w:val="21"/>
                <w:szCs w:val="21"/>
                <w:highlight w:val="none"/>
                <w:lang w:val="en-US" w:eastAsia="zh-CN" w:bidi="ar-SA"/>
              </w:rPr>
              <w:t>采购需求及</w:t>
            </w:r>
            <w:r>
              <w:rPr>
                <w:rFonts w:hint="eastAsia" w:ascii="宋体" w:hAnsi="宋体" w:eastAsia="宋体" w:cs="宋体"/>
                <w:color w:val="auto"/>
                <w:kern w:val="2"/>
                <w:sz w:val="21"/>
                <w:szCs w:val="21"/>
                <w:highlight w:val="none"/>
                <w:lang w:val="zh-CN" w:eastAsia="zh-CN" w:bidi="ar-SA"/>
              </w:rPr>
              <w:t>特性，</w:t>
            </w:r>
            <w:r>
              <w:rPr>
                <w:rFonts w:hint="eastAsia" w:ascii="宋体" w:hAnsi="宋体" w:eastAsia="宋体" w:cs="宋体"/>
                <w:color w:val="auto"/>
                <w:sz w:val="21"/>
                <w:szCs w:val="21"/>
                <w:highlight w:val="none"/>
                <w:lang w:val="en-US" w:eastAsia="zh-CN"/>
              </w:rPr>
              <w:t>就</w:t>
            </w:r>
            <w:r>
              <w:rPr>
                <w:rFonts w:hint="eastAsia" w:ascii="宋体" w:hAnsi="宋体" w:eastAsia="宋体" w:cs="宋体"/>
                <w:color w:val="auto"/>
                <w:sz w:val="21"/>
                <w:szCs w:val="21"/>
                <w:highlight w:val="none"/>
                <w:lang w:val="zh-CN" w:eastAsia="zh-CN"/>
              </w:rPr>
              <w:t>本项目所提供</w:t>
            </w:r>
            <w:r>
              <w:rPr>
                <w:rFonts w:hint="eastAsia" w:ascii="宋体" w:hAnsi="宋体" w:eastAsia="宋体" w:cs="宋体"/>
                <w:color w:val="auto"/>
                <w:sz w:val="21"/>
                <w:szCs w:val="21"/>
                <w:highlight w:val="none"/>
                <w:lang w:val="en-US" w:eastAsia="zh-CN"/>
              </w:rPr>
              <w:t>服务过程可能</w:t>
            </w:r>
            <w:r>
              <w:rPr>
                <w:rFonts w:hint="eastAsia" w:ascii="宋体" w:hAnsi="宋体" w:eastAsia="宋体" w:cs="宋体"/>
                <w:color w:val="auto"/>
                <w:sz w:val="21"/>
                <w:szCs w:val="21"/>
                <w:highlight w:val="none"/>
                <w:lang w:val="zh-CN" w:eastAsia="zh-CN"/>
              </w:rPr>
              <w:t>遇到食物中毒、停水、停电、人员受伤、消防安全、自然灾害、疫（</w:t>
            </w:r>
            <w:r>
              <w:rPr>
                <w:rFonts w:hint="eastAsia" w:ascii="宋体" w:hAnsi="宋体" w:eastAsia="宋体" w:cs="宋体"/>
                <w:color w:val="auto"/>
                <w:sz w:val="21"/>
                <w:szCs w:val="21"/>
                <w:highlight w:val="none"/>
                <w:lang w:val="en-US" w:eastAsia="zh-CN"/>
              </w:rPr>
              <w:t>病</w:t>
            </w:r>
            <w:r>
              <w:rPr>
                <w:rFonts w:hint="eastAsia" w:ascii="宋体" w:hAnsi="宋体" w:eastAsia="宋体" w:cs="宋体"/>
                <w:color w:val="auto"/>
                <w:sz w:val="21"/>
                <w:szCs w:val="21"/>
                <w:highlight w:val="none"/>
                <w:lang w:val="zh-CN" w:eastAsia="zh-CN"/>
              </w:rPr>
              <w:t>）情防控等情况下，</w:t>
            </w:r>
            <w:r>
              <w:rPr>
                <w:rFonts w:hint="eastAsia" w:ascii="宋体" w:hAnsi="宋体" w:eastAsia="宋体" w:cs="宋体"/>
                <w:color w:val="auto"/>
                <w:sz w:val="21"/>
                <w:szCs w:val="21"/>
                <w:highlight w:val="none"/>
                <w:lang w:val="en-US" w:eastAsia="zh-CN"/>
              </w:rPr>
              <w:t>提供针对性的</w:t>
            </w:r>
            <w:r>
              <w:rPr>
                <w:rFonts w:hint="eastAsia" w:ascii="宋体" w:hAnsi="宋体" w:eastAsia="宋体" w:cs="宋体"/>
                <w:color w:val="auto"/>
                <w:kern w:val="2"/>
                <w:sz w:val="21"/>
                <w:szCs w:val="21"/>
                <w:highlight w:val="none"/>
                <w:lang w:val="en-US" w:eastAsia="zh-CN" w:bidi="ar-SA"/>
              </w:rPr>
              <w:t>应急预案</w:t>
            </w:r>
            <w:r>
              <w:rPr>
                <w:rFonts w:hint="eastAsia" w:ascii="宋体" w:hAnsi="宋体" w:eastAsia="宋体" w:cs="宋体"/>
                <w:color w:val="auto"/>
                <w:sz w:val="21"/>
                <w:szCs w:val="21"/>
                <w:highlight w:val="none"/>
                <w:lang w:val="zh-CN" w:eastAsia="zh-CN"/>
              </w:rPr>
              <w:t>。</w:t>
            </w:r>
          </w:p>
          <w:p w14:paraId="1456D7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方案详尽、精细，科学性强，操作性强、规范合理的得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分；</w:t>
            </w:r>
          </w:p>
          <w:p w14:paraId="73E37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方案基本全面，只具有基本科学性、操作性、规范性的得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分；</w:t>
            </w:r>
          </w:p>
          <w:p w14:paraId="0B0954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zh-CN" w:eastAsia="zh-CN"/>
              </w:rPr>
              <w:t>方案简单，操作性欠缺，规范欠缺的得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分。未提供不得分。</w:t>
            </w:r>
          </w:p>
        </w:tc>
        <w:tc>
          <w:tcPr>
            <w:tcW w:w="2159" w:type="dxa"/>
            <w:shd w:val="clear" w:color="auto" w:fill="auto"/>
            <w:noWrap w:val="0"/>
            <w:vAlign w:val="center"/>
          </w:tcPr>
          <w:p w14:paraId="0F88C9B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根据投标文件中投标人提供的本项内容评分。不提供不得分。</w:t>
            </w:r>
          </w:p>
        </w:tc>
      </w:tr>
      <w:tr w14:paraId="1F7F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7502A35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w:t>
            </w:r>
          </w:p>
        </w:tc>
        <w:tc>
          <w:tcPr>
            <w:tcW w:w="1885" w:type="dxa"/>
            <w:shd w:val="clear" w:color="auto" w:fill="auto"/>
            <w:noWrap w:val="0"/>
            <w:vAlign w:val="center"/>
          </w:tcPr>
          <w:p w14:paraId="39BB0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28"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质量保证、服务承诺</w:t>
            </w:r>
          </w:p>
        </w:tc>
        <w:tc>
          <w:tcPr>
            <w:tcW w:w="710" w:type="dxa"/>
            <w:shd w:val="clear" w:color="auto" w:fill="auto"/>
            <w:noWrap w:val="0"/>
            <w:vAlign w:val="center"/>
          </w:tcPr>
          <w:p w14:paraId="2675BE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cs="宋体"/>
                <w:b w:val="0"/>
                <w:bCs w:val="0"/>
                <w:color w:val="auto"/>
                <w:sz w:val="21"/>
                <w:szCs w:val="21"/>
                <w:highlight w:val="none"/>
                <w:lang w:val="en-US" w:eastAsia="zh-CN"/>
              </w:rPr>
              <w:t>6</w:t>
            </w:r>
          </w:p>
        </w:tc>
        <w:tc>
          <w:tcPr>
            <w:tcW w:w="5693" w:type="dxa"/>
            <w:shd w:val="clear" w:color="auto" w:fill="auto"/>
            <w:noWrap w:val="0"/>
            <w:vAlign w:val="center"/>
          </w:tcPr>
          <w:p w14:paraId="6853EB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kern w:val="2"/>
                <w:sz w:val="21"/>
                <w:szCs w:val="21"/>
                <w:highlight w:val="none"/>
                <w:lang w:val="zh-CN" w:eastAsia="zh-CN" w:bidi="ar-SA"/>
              </w:rPr>
              <w:t>投标人根据本项目的项目</w:t>
            </w:r>
            <w:r>
              <w:rPr>
                <w:rFonts w:hint="eastAsia" w:ascii="宋体" w:hAnsi="宋体" w:cs="宋体"/>
                <w:color w:val="auto"/>
                <w:kern w:val="2"/>
                <w:sz w:val="21"/>
                <w:szCs w:val="21"/>
                <w:highlight w:val="none"/>
                <w:lang w:val="en-US" w:eastAsia="zh-CN" w:bidi="ar-SA"/>
              </w:rPr>
              <w:t>采购需求及</w:t>
            </w:r>
            <w:r>
              <w:rPr>
                <w:rFonts w:hint="eastAsia" w:ascii="宋体" w:hAnsi="宋体" w:eastAsia="宋体" w:cs="宋体"/>
                <w:color w:val="auto"/>
                <w:kern w:val="2"/>
                <w:sz w:val="21"/>
                <w:szCs w:val="21"/>
                <w:highlight w:val="none"/>
                <w:lang w:val="zh-CN" w:eastAsia="zh-CN" w:bidi="ar-SA"/>
              </w:rPr>
              <w:t>特性，</w:t>
            </w:r>
            <w:r>
              <w:rPr>
                <w:rFonts w:hint="eastAsia" w:ascii="宋体" w:hAnsi="宋体" w:eastAsia="宋体" w:cs="宋体"/>
                <w:color w:val="auto"/>
                <w:sz w:val="21"/>
                <w:szCs w:val="21"/>
                <w:highlight w:val="none"/>
                <w:lang w:val="en-US" w:eastAsia="zh-CN"/>
              </w:rPr>
              <w:t>提供针对性的</w:t>
            </w:r>
            <w:r>
              <w:rPr>
                <w:rFonts w:hint="eastAsia" w:ascii="宋体" w:hAnsi="宋体" w:eastAsia="宋体" w:cs="宋体"/>
                <w:color w:val="auto"/>
                <w:kern w:val="2"/>
                <w:sz w:val="21"/>
                <w:szCs w:val="21"/>
                <w:highlight w:val="none"/>
                <w:lang w:val="en-US" w:eastAsia="zh-CN" w:bidi="ar-SA"/>
              </w:rPr>
              <w:t>质量保证、服务承诺</w:t>
            </w:r>
            <w:r>
              <w:rPr>
                <w:rFonts w:hint="eastAsia" w:ascii="宋体" w:hAnsi="宋体" w:cs="宋体"/>
                <w:color w:val="auto"/>
                <w:kern w:val="2"/>
                <w:sz w:val="21"/>
                <w:szCs w:val="21"/>
                <w:highlight w:val="none"/>
                <w:lang w:val="en-US" w:eastAsia="zh-CN" w:bidi="ar-SA"/>
              </w:rPr>
              <w:t>，</w:t>
            </w:r>
            <w:r>
              <w:rPr>
                <w:rFonts w:hint="eastAsia" w:ascii="宋体" w:hAnsi="宋体" w:cs="宋体"/>
                <w:color w:val="auto"/>
                <w:szCs w:val="21"/>
                <w:highlight w:val="none"/>
              </w:rPr>
              <w:t>包括食品安全质量保证</w:t>
            </w:r>
            <w:r>
              <w:rPr>
                <w:rFonts w:hint="eastAsia" w:ascii="宋体" w:hAnsi="宋体" w:cs="宋体"/>
                <w:color w:val="auto"/>
                <w:szCs w:val="21"/>
                <w:highlight w:val="none"/>
                <w:lang w:val="en-US" w:eastAsia="zh-CN"/>
              </w:rPr>
              <w:t>与承诺</w:t>
            </w:r>
            <w:r>
              <w:rPr>
                <w:rFonts w:hint="eastAsia" w:ascii="宋体" w:hAnsi="宋体" w:cs="宋体"/>
                <w:color w:val="auto"/>
                <w:szCs w:val="21"/>
                <w:highlight w:val="none"/>
                <w:lang w:eastAsia="zh-CN"/>
              </w:rPr>
              <w:t>、</w:t>
            </w:r>
            <w:r>
              <w:rPr>
                <w:rFonts w:hint="eastAsia" w:ascii="宋体" w:hAnsi="宋体" w:cs="宋体"/>
                <w:color w:val="auto"/>
                <w:szCs w:val="21"/>
                <w:highlight w:val="none"/>
              </w:rPr>
              <w:t>菜品供应质量保证</w:t>
            </w:r>
            <w:r>
              <w:rPr>
                <w:rFonts w:hint="eastAsia" w:ascii="宋体" w:hAnsi="宋体" w:cs="宋体"/>
                <w:color w:val="auto"/>
                <w:szCs w:val="21"/>
                <w:highlight w:val="none"/>
                <w:lang w:val="en-US" w:eastAsia="zh-CN"/>
              </w:rPr>
              <w:t>与承诺</w:t>
            </w:r>
            <w:r>
              <w:rPr>
                <w:rFonts w:hint="eastAsia" w:ascii="宋体" w:hAnsi="宋体" w:cs="宋体"/>
                <w:color w:val="auto"/>
                <w:szCs w:val="21"/>
                <w:highlight w:val="none"/>
                <w:lang w:eastAsia="zh-CN"/>
              </w:rPr>
              <w:t>、</w:t>
            </w:r>
            <w:r>
              <w:rPr>
                <w:rFonts w:hint="eastAsia" w:ascii="宋体" w:hAnsi="宋体" w:cs="宋体"/>
                <w:color w:val="auto"/>
                <w:szCs w:val="21"/>
                <w:highlight w:val="none"/>
              </w:rPr>
              <w:t>环境卫生质量保证</w:t>
            </w:r>
            <w:r>
              <w:rPr>
                <w:rFonts w:hint="eastAsia" w:ascii="宋体" w:hAnsi="宋体" w:cs="宋体"/>
                <w:color w:val="auto"/>
                <w:szCs w:val="21"/>
                <w:highlight w:val="none"/>
                <w:lang w:val="en-US" w:eastAsia="zh-CN"/>
              </w:rPr>
              <w:t>与承诺</w:t>
            </w:r>
            <w:r>
              <w:rPr>
                <w:rFonts w:hint="eastAsia" w:ascii="宋体" w:hAnsi="宋体" w:cs="宋体"/>
                <w:color w:val="auto"/>
                <w:szCs w:val="21"/>
                <w:highlight w:val="none"/>
                <w:lang w:eastAsia="zh-CN"/>
              </w:rPr>
              <w:t>、</w:t>
            </w:r>
            <w:r>
              <w:rPr>
                <w:rFonts w:hint="eastAsia" w:ascii="宋体" w:hAnsi="宋体" w:cs="宋体"/>
                <w:color w:val="auto"/>
                <w:szCs w:val="21"/>
                <w:highlight w:val="none"/>
              </w:rPr>
              <w:t>人员服务质量保证</w:t>
            </w:r>
            <w:r>
              <w:rPr>
                <w:rFonts w:hint="eastAsia" w:ascii="宋体" w:hAnsi="宋体" w:cs="宋体"/>
                <w:color w:val="auto"/>
                <w:szCs w:val="21"/>
                <w:highlight w:val="none"/>
                <w:lang w:val="en-US" w:eastAsia="zh-CN"/>
              </w:rPr>
              <w:t>与承诺</w:t>
            </w:r>
            <w:r>
              <w:rPr>
                <w:rFonts w:hint="eastAsia" w:ascii="宋体" w:hAnsi="宋体" w:cs="宋体"/>
                <w:color w:val="auto"/>
                <w:szCs w:val="21"/>
                <w:highlight w:val="none"/>
              </w:rPr>
              <w:t>等</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w:t>
            </w:r>
          </w:p>
          <w:p w14:paraId="544B9A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质量保证、服务承诺合理，可行性、针对性强的，得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p w14:paraId="25A673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质量保证、服务承诺只具备基本的合理性、可行性和针对性的，得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w:t>
            </w:r>
          </w:p>
          <w:p w14:paraId="2BA11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质量保证、服务承诺合理性、可行性和针对性欠缺的，得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 xml:space="preserve">分。不提供不得分。 </w:t>
            </w:r>
          </w:p>
        </w:tc>
        <w:tc>
          <w:tcPr>
            <w:tcW w:w="2159" w:type="dxa"/>
            <w:shd w:val="clear" w:color="auto" w:fill="auto"/>
            <w:noWrap w:val="0"/>
            <w:vAlign w:val="center"/>
          </w:tcPr>
          <w:p w14:paraId="6A147C1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根据投标文件中投标人提供的本项内容评分。不提供不得分。</w:t>
            </w:r>
          </w:p>
        </w:tc>
      </w:tr>
      <w:tr w14:paraId="0FF2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519096B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p>
        </w:tc>
        <w:tc>
          <w:tcPr>
            <w:tcW w:w="1885" w:type="dxa"/>
            <w:shd w:val="clear" w:color="auto" w:fill="auto"/>
            <w:noWrap w:val="0"/>
            <w:vAlign w:val="center"/>
          </w:tcPr>
          <w:p w14:paraId="42C6940F">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客观分</w:t>
            </w:r>
          </w:p>
        </w:tc>
        <w:tc>
          <w:tcPr>
            <w:tcW w:w="710" w:type="dxa"/>
            <w:shd w:val="clear" w:color="auto" w:fill="auto"/>
            <w:noWrap w:val="0"/>
            <w:vAlign w:val="center"/>
          </w:tcPr>
          <w:p w14:paraId="44E5302D">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48</w:t>
            </w:r>
          </w:p>
        </w:tc>
        <w:tc>
          <w:tcPr>
            <w:tcW w:w="5693" w:type="dxa"/>
            <w:shd w:val="clear" w:color="auto" w:fill="auto"/>
            <w:noWrap w:val="0"/>
            <w:vAlign w:val="center"/>
          </w:tcPr>
          <w:p w14:paraId="7727B72D">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textAlignment w:val="auto"/>
              <w:outlineLvl w:val="9"/>
              <w:rPr>
                <w:rFonts w:hint="eastAsia" w:ascii="宋体" w:hAnsi="宋体" w:eastAsia="宋体" w:cs="宋体"/>
                <w:color w:val="auto"/>
                <w:sz w:val="21"/>
                <w:szCs w:val="21"/>
                <w:highlight w:val="none"/>
              </w:rPr>
            </w:pPr>
          </w:p>
        </w:tc>
        <w:tc>
          <w:tcPr>
            <w:tcW w:w="2159" w:type="dxa"/>
            <w:noWrap w:val="0"/>
            <w:vAlign w:val="center"/>
          </w:tcPr>
          <w:p w14:paraId="599552C3">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right="0"/>
              <w:textAlignment w:val="auto"/>
              <w:outlineLvl w:val="9"/>
              <w:rPr>
                <w:rFonts w:hint="eastAsia" w:ascii="宋体" w:hAnsi="宋体" w:eastAsia="宋体" w:cs="宋体"/>
                <w:color w:val="auto"/>
                <w:sz w:val="21"/>
                <w:szCs w:val="21"/>
                <w:highlight w:val="none"/>
              </w:rPr>
            </w:pPr>
          </w:p>
        </w:tc>
      </w:tr>
      <w:tr w14:paraId="5B63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0C2A957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3.1</w:t>
            </w:r>
          </w:p>
        </w:tc>
        <w:tc>
          <w:tcPr>
            <w:tcW w:w="1885" w:type="dxa"/>
            <w:shd w:val="clear" w:color="auto" w:fill="auto"/>
            <w:noWrap w:val="0"/>
            <w:vAlign w:val="center"/>
          </w:tcPr>
          <w:p w14:paraId="1D01BD73">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类似项目业绩</w:t>
            </w:r>
          </w:p>
        </w:tc>
        <w:tc>
          <w:tcPr>
            <w:tcW w:w="710" w:type="dxa"/>
            <w:shd w:val="clear" w:color="auto" w:fill="auto"/>
            <w:noWrap w:val="0"/>
            <w:vAlign w:val="center"/>
          </w:tcPr>
          <w:p w14:paraId="785D25F3">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9</w:t>
            </w:r>
          </w:p>
        </w:tc>
        <w:tc>
          <w:tcPr>
            <w:tcW w:w="5693" w:type="dxa"/>
            <w:shd w:val="clear" w:color="auto" w:fill="auto"/>
            <w:noWrap w:val="0"/>
            <w:vAlign w:val="center"/>
          </w:tcPr>
          <w:p w14:paraId="3227ED8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投标人</w:t>
            </w:r>
            <w:r>
              <w:rPr>
                <w:rFonts w:hint="eastAsia" w:ascii="宋体" w:hAnsi="宋体" w:eastAsia="宋体" w:cs="宋体"/>
                <w:color w:val="auto"/>
                <w:kern w:val="2"/>
                <w:sz w:val="21"/>
                <w:szCs w:val="21"/>
                <w:highlight w:val="none"/>
                <w:lang w:val="en-US" w:eastAsia="zh-CN" w:bidi="ar-SA"/>
              </w:rPr>
              <w:t>自2023年</w:t>
            </w:r>
            <w:r>
              <w:rPr>
                <w:rFonts w:hint="eastAsia" w:ascii="宋体" w:hAnsi="宋体" w:cs="宋体"/>
                <w:color w:val="auto"/>
                <w:kern w:val="2"/>
                <w:sz w:val="21"/>
                <w:szCs w:val="21"/>
                <w:highlight w:val="none"/>
                <w:lang w:val="en-US" w:eastAsia="zh-CN" w:bidi="ar-SA"/>
              </w:rPr>
              <w:t>09</w:t>
            </w:r>
            <w:r>
              <w:rPr>
                <w:rFonts w:hint="eastAsia" w:ascii="宋体" w:hAnsi="宋体" w:eastAsia="宋体" w:cs="宋体"/>
                <w:color w:val="auto"/>
                <w:kern w:val="2"/>
                <w:sz w:val="21"/>
                <w:szCs w:val="21"/>
                <w:highlight w:val="none"/>
                <w:lang w:val="en-US" w:eastAsia="zh-CN" w:bidi="ar-SA"/>
              </w:rPr>
              <w:t>月以来（以合同签订时间为准），具有类似项目业绩的。每提供1份业绩，得</w:t>
            </w:r>
            <w:r>
              <w:rPr>
                <w:rFonts w:hint="default"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分，本项最高得分</w:t>
            </w:r>
            <w:r>
              <w:rPr>
                <w:rFonts w:hint="default" w:ascii="宋体" w:hAnsi="宋体" w:cs="宋体"/>
                <w:color w:val="auto"/>
                <w:kern w:val="2"/>
                <w:sz w:val="21"/>
                <w:szCs w:val="21"/>
                <w:highlight w:val="none"/>
                <w:lang w:val="en-US" w:eastAsia="zh-CN" w:bidi="ar-SA"/>
              </w:rPr>
              <w:t>9</w:t>
            </w:r>
            <w:r>
              <w:rPr>
                <w:rFonts w:hint="eastAsia" w:ascii="宋体" w:hAnsi="宋体" w:eastAsia="宋体" w:cs="宋体"/>
                <w:color w:val="auto"/>
                <w:kern w:val="2"/>
                <w:sz w:val="21"/>
                <w:szCs w:val="21"/>
                <w:highlight w:val="none"/>
                <w:lang w:val="en-US" w:eastAsia="zh-CN" w:bidi="ar-SA"/>
              </w:rPr>
              <w:t>分。</w:t>
            </w:r>
            <w:r>
              <w:rPr>
                <w:rFonts w:hint="eastAsia" w:ascii="宋体" w:hAnsi="宋体" w:cs="宋体"/>
                <w:color w:val="auto"/>
                <w:kern w:val="2"/>
                <w:sz w:val="21"/>
                <w:szCs w:val="21"/>
                <w:highlight w:val="none"/>
                <w:lang w:val="en-US" w:eastAsia="zh-CN" w:bidi="ar-SA"/>
              </w:rPr>
              <w:t>（同一项目同一采购人的不同期间业绩合同仅按1个计算，不累计得分。）</w:t>
            </w:r>
          </w:p>
        </w:tc>
        <w:tc>
          <w:tcPr>
            <w:tcW w:w="2159" w:type="dxa"/>
            <w:shd w:val="clear" w:color="auto" w:fill="auto"/>
            <w:noWrap w:val="0"/>
            <w:vAlign w:val="center"/>
          </w:tcPr>
          <w:p w14:paraId="06B9A960">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firstLine="28" w:firstLineChars="0"/>
              <w:jc w:val="lef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投标文件中提供业绩合同复印件,加盖投标人公章。未提供、无效的或材料不匹配的不得分。</w:t>
            </w:r>
          </w:p>
        </w:tc>
      </w:tr>
      <w:tr w14:paraId="55D1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7FCF24B6">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3.2</w:t>
            </w:r>
          </w:p>
        </w:tc>
        <w:tc>
          <w:tcPr>
            <w:tcW w:w="1885" w:type="dxa"/>
            <w:shd w:val="clear" w:color="auto" w:fill="auto"/>
            <w:noWrap w:val="0"/>
            <w:vAlign w:val="center"/>
          </w:tcPr>
          <w:p w14:paraId="1629E97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企业认证</w:t>
            </w:r>
          </w:p>
        </w:tc>
        <w:tc>
          <w:tcPr>
            <w:tcW w:w="710" w:type="dxa"/>
            <w:shd w:val="clear" w:color="auto" w:fill="auto"/>
            <w:noWrap w:val="0"/>
            <w:vAlign w:val="center"/>
          </w:tcPr>
          <w:p w14:paraId="5492E42E">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5693" w:type="dxa"/>
            <w:shd w:val="clear" w:color="auto" w:fill="auto"/>
            <w:noWrap w:val="0"/>
            <w:vAlign w:val="center"/>
          </w:tcPr>
          <w:p w14:paraId="46E7F0E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投标人具有有效的质量管理体系认证、环境管理体系认证、职业健康安全管理体系认证、食品安全管理体系认证、HACCP（危害分析与关键控制点）认证</w:t>
            </w:r>
            <w:r>
              <w:rPr>
                <w:rFonts w:hint="eastAsia" w:ascii="宋体" w:hAnsi="宋体" w:cs="宋体"/>
                <w:color w:val="auto"/>
                <w:kern w:val="2"/>
                <w:sz w:val="21"/>
                <w:szCs w:val="21"/>
                <w:highlight w:val="none"/>
                <w:lang w:val="en-US" w:eastAsia="zh-CN" w:bidi="ar-SA"/>
              </w:rPr>
              <w:t>证书的</w:t>
            </w:r>
            <w:r>
              <w:rPr>
                <w:rFonts w:hint="eastAsia" w:ascii="宋体" w:hAnsi="宋体" w:eastAsia="宋体" w:cs="宋体"/>
                <w:color w:val="auto"/>
                <w:kern w:val="2"/>
                <w:sz w:val="21"/>
                <w:szCs w:val="21"/>
                <w:highlight w:val="none"/>
                <w:lang w:val="zh-CN" w:eastAsia="zh-CN" w:bidi="ar-SA"/>
              </w:rPr>
              <w:t>，每有一</w:t>
            </w:r>
            <w:r>
              <w:rPr>
                <w:rFonts w:hint="eastAsia" w:ascii="宋体" w:hAnsi="宋体" w:cs="宋体"/>
                <w:color w:val="auto"/>
                <w:kern w:val="2"/>
                <w:sz w:val="21"/>
                <w:szCs w:val="21"/>
                <w:highlight w:val="none"/>
                <w:lang w:val="en-US" w:eastAsia="zh-CN" w:bidi="ar-SA"/>
              </w:rPr>
              <w:t>类证书</w:t>
            </w:r>
            <w:r>
              <w:rPr>
                <w:rFonts w:hint="eastAsia" w:ascii="宋体" w:hAnsi="宋体" w:eastAsia="宋体" w:cs="宋体"/>
                <w:color w:val="auto"/>
                <w:kern w:val="2"/>
                <w:sz w:val="21"/>
                <w:szCs w:val="21"/>
                <w:highlight w:val="none"/>
                <w:lang w:val="zh-CN" w:eastAsia="zh-CN" w:bidi="ar-SA"/>
              </w:rPr>
              <w:t>得1分，最高得5分。</w:t>
            </w:r>
          </w:p>
        </w:tc>
        <w:tc>
          <w:tcPr>
            <w:tcW w:w="2159" w:type="dxa"/>
            <w:shd w:val="clear" w:color="auto" w:fill="auto"/>
            <w:noWrap w:val="0"/>
            <w:vAlign w:val="center"/>
          </w:tcPr>
          <w:p w14:paraId="6BD7CD3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投标文件中提供对应证书复印件，加盖投标人公章。未提供或无效的不得分。</w:t>
            </w:r>
          </w:p>
        </w:tc>
      </w:tr>
      <w:tr w14:paraId="6ACB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5B0CE170">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3.3</w:t>
            </w:r>
          </w:p>
        </w:tc>
        <w:tc>
          <w:tcPr>
            <w:tcW w:w="1885" w:type="dxa"/>
            <w:shd w:val="clear" w:color="auto" w:fill="auto"/>
            <w:noWrap w:val="0"/>
            <w:vAlign w:val="center"/>
          </w:tcPr>
          <w:p w14:paraId="48FDBBC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项目负责人实力</w:t>
            </w:r>
          </w:p>
        </w:tc>
        <w:tc>
          <w:tcPr>
            <w:tcW w:w="710" w:type="dxa"/>
            <w:shd w:val="clear" w:color="auto" w:fill="auto"/>
            <w:noWrap w:val="0"/>
            <w:vAlign w:val="center"/>
          </w:tcPr>
          <w:p w14:paraId="27B3A4AD">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5693" w:type="dxa"/>
            <w:shd w:val="clear" w:color="auto" w:fill="auto"/>
            <w:noWrap w:val="0"/>
            <w:vAlign w:val="center"/>
          </w:tcPr>
          <w:p w14:paraId="66D6F431">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项目负责人：</w:t>
            </w:r>
          </w:p>
          <w:p w14:paraId="6601115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具有高级团餐项目管理师证书的得1分</w:t>
            </w: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lang w:val="en-US" w:eastAsia="zh-CN"/>
              </w:rPr>
              <w:t>本小项最高得1分。</w:t>
            </w:r>
          </w:p>
          <w:p w14:paraId="47158B4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具有餐饮业注册（高级）职业经理人资格证书的得1分</w:t>
            </w: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lang w:val="en-US" w:eastAsia="zh-CN"/>
              </w:rPr>
              <w:t>本小项最高得1分。</w:t>
            </w:r>
          </w:p>
          <w:p w14:paraId="1C3A053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具有食品安全总监证书的得1分</w:t>
            </w: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lang w:val="en-US" w:eastAsia="zh-CN"/>
              </w:rPr>
              <w:t>本小项最高得1分。</w:t>
            </w:r>
          </w:p>
          <w:p w14:paraId="025024B0">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具有公共营养师或营养配餐师证书的得1分</w:t>
            </w: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lang w:val="en-US" w:eastAsia="zh-CN"/>
              </w:rPr>
              <w:t>本小项最高得1分。</w:t>
            </w:r>
          </w:p>
        </w:tc>
        <w:tc>
          <w:tcPr>
            <w:tcW w:w="2159" w:type="dxa"/>
            <w:shd w:val="clear" w:color="auto" w:fill="auto"/>
            <w:noWrap w:val="0"/>
            <w:vAlign w:val="center"/>
          </w:tcPr>
          <w:p w14:paraId="6CF3E2E0">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投标文件中提供</w:t>
            </w:r>
            <w:r>
              <w:rPr>
                <w:rFonts w:hint="eastAsia" w:ascii="宋体" w:hAnsi="宋体" w:cs="宋体"/>
                <w:color w:val="auto"/>
                <w:kern w:val="2"/>
                <w:sz w:val="21"/>
                <w:szCs w:val="21"/>
                <w:highlight w:val="none"/>
                <w:lang w:val="en-US" w:eastAsia="zh-CN" w:bidi="ar-SA"/>
              </w:rPr>
              <w:t>人员相应</w:t>
            </w:r>
            <w:r>
              <w:rPr>
                <w:rFonts w:hint="eastAsia" w:ascii="宋体" w:hAnsi="宋体" w:eastAsia="宋体" w:cs="宋体"/>
                <w:color w:val="auto"/>
                <w:kern w:val="2"/>
                <w:sz w:val="21"/>
                <w:szCs w:val="21"/>
                <w:highlight w:val="none"/>
                <w:lang w:val="en-US" w:eastAsia="zh-CN" w:bidi="ar-SA"/>
              </w:rPr>
              <w:t>证书复印件</w:t>
            </w:r>
            <w:r>
              <w:rPr>
                <w:rFonts w:hint="eastAsia" w:ascii="宋体" w:hAnsi="宋体" w:cs="宋体"/>
                <w:color w:val="auto"/>
                <w:kern w:val="2"/>
                <w:sz w:val="21"/>
                <w:szCs w:val="21"/>
                <w:highlight w:val="none"/>
                <w:lang w:val="en-US" w:eastAsia="zh-CN" w:bidi="ar-SA"/>
              </w:rPr>
              <w:t>及投标人为其缴纳的2026年07月以来任一月份的社保证明复印件，如为退休人员，</w:t>
            </w:r>
            <w:r>
              <w:rPr>
                <w:rFonts w:hint="eastAsia" w:ascii="宋体" w:hAnsi="宋体" w:cs="宋体"/>
                <w:b w:val="0"/>
                <w:bCs w:val="0"/>
                <w:szCs w:val="21"/>
                <w:highlight w:val="none"/>
              </w:rPr>
              <w:t>则同时提供退休证明复印件及其与投标人签订的聘用合同材料复印件</w:t>
            </w:r>
            <w:r>
              <w:rPr>
                <w:rFonts w:hint="eastAsia" w:ascii="宋体" w:hAnsi="宋体" w:cs="宋体"/>
                <w:b w:val="0"/>
                <w:bCs w:val="0"/>
                <w:szCs w:val="21"/>
                <w:highlight w:val="none"/>
                <w:lang w:eastAsia="zh-CN"/>
              </w:rPr>
              <w:t>，</w:t>
            </w:r>
            <w:r>
              <w:rPr>
                <w:rFonts w:hint="eastAsia" w:ascii="宋体" w:hAnsi="宋体" w:cs="宋体"/>
                <w:color w:val="auto"/>
                <w:kern w:val="2"/>
                <w:sz w:val="21"/>
                <w:szCs w:val="21"/>
                <w:highlight w:val="none"/>
                <w:lang w:val="en-US" w:eastAsia="zh-CN" w:bidi="ar-SA"/>
              </w:rPr>
              <w:t>均</w:t>
            </w:r>
            <w:r>
              <w:rPr>
                <w:rFonts w:hint="eastAsia" w:ascii="宋体" w:hAnsi="宋体" w:eastAsia="宋体" w:cs="宋体"/>
                <w:color w:val="auto"/>
                <w:kern w:val="2"/>
                <w:sz w:val="21"/>
                <w:szCs w:val="21"/>
                <w:highlight w:val="none"/>
                <w:lang w:val="en-US" w:eastAsia="zh-CN" w:bidi="ar-SA"/>
              </w:rPr>
              <w:t>加盖投标人公章。未提供或无效的不得分。</w:t>
            </w:r>
          </w:p>
        </w:tc>
      </w:tr>
      <w:tr w14:paraId="4996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202AF36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3.4</w:t>
            </w:r>
          </w:p>
        </w:tc>
        <w:tc>
          <w:tcPr>
            <w:tcW w:w="1885" w:type="dxa"/>
            <w:shd w:val="clear" w:color="auto" w:fill="auto"/>
            <w:noWrap w:val="0"/>
            <w:vAlign w:val="center"/>
          </w:tcPr>
          <w:p w14:paraId="279A865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厨师长实力</w:t>
            </w:r>
          </w:p>
        </w:tc>
        <w:tc>
          <w:tcPr>
            <w:tcW w:w="710" w:type="dxa"/>
            <w:shd w:val="clear" w:color="auto" w:fill="auto"/>
            <w:noWrap w:val="0"/>
            <w:vAlign w:val="center"/>
          </w:tcPr>
          <w:p w14:paraId="495D484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7</w:t>
            </w:r>
          </w:p>
        </w:tc>
        <w:tc>
          <w:tcPr>
            <w:tcW w:w="5693" w:type="dxa"/>
            <w:shd w:val="clear" w:color="auto" w:fill="auto"/>
            <w:noWrap w:val="0"/>
            <w:vAlign w:val="center"/>
          </w:tcPr>
          <w:p w14:paraId="0635E78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厨师长：</w:t>
            </w:r>
          </w:p>
          <w:p w14:paraId="67C27A2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具有人社部门或经人社部门备案的评价机构颁发的</w:t>
            </w:r>
            <w:r>
              <w:rPr>
                <w:rFonts w:hint="eastAsia" w:ascii="宋体" w:hAnsi="宋体" w:eastAsia="宋体" w:cs="宋体"/>
                <w:color w:val="auto"/>
                <w:sz w:val="21"/>
                <w:szCs w:val="21"/>
                <w:highlight w:val="none"/>
                <w:lang w:val="en-US" w:eastAsia="zh-CN"/>
              </w:rPr>
              <w:t>高级</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三</w:t>
            </w:r>
            <w:r>
              <w:rPr>
                <w:rFonts w:hint="default" w:ascii="宋体" w:hAnsi="宋体" w:eastAsia="宋体" w:cs="宋体"/>
                <w:color w:val="auto"/>
                <w:sz w:val="21"/>
                <w:szCs w:val="21"/>
                <w:highlight w:val="none"/>
                <w:lang w:val="en-US" w:eastAsia="zh-CN"/>
              </w:rPr>
              <w:t>级）中式烹调师证书的，得</w:t>
            </w:r>
            <w:r>
              <w:rPr>
                <w:rFonts w:hint="default" w:ascii="宋体" w:hAnsi="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分；</w:t>
            </w:r>
          </w:p>
          <w:p w14:paraId="110297A6">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具有人社部门或经人社部门备案的评价机构颁发的</w:t>
            </w:r>
            <w:r>
              <w:rPr>
                <w:rFonts w:hint="eastAsia" w:ascii="宋体" w:hAnsi="宋体" w:eastAsia="宋体" w:cs="宋体"/>
                <w:color w:val="auto"/>
                <w:sz w:val="21"/>
                <w:szCs w:val="21"/>
                <w:highlight w:val="none"/>
                <w:lang w:val="en-US" w:eastAsia="zh-CN"/>
              </w:rPr>
              <w:t>技师</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二级</w:t>
            </w:r>
            <w:r>
              <w:rPr>
                <w:rFonts w:hint="default" w:ascii="宋体" w:hAnsi="宋体" w:eastAsia="宋体" w:cs="宋体"/>
                <w:color w:val="auto"/>
                <w:sz w:val="21"/>
                <w:szCs w:val="21"/>
                <w:highlight w:val="none"/>
                <w:lang w:val="en-US" w:eastAsia="zh-CN"/>
              </w:rPr>
              <w:t>）中式烹调师证书的，得</w:t>
            </w:r>
            <w:r>
              <w:rPr>
                <w:rFonts w:hint="default" w:ascii="宋体" w:hAnsi="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分；</w:t>
            </w:r>
          </w:p>
          <w:p w14:paraId="3F079F4E">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具有人社部门或经人社部门备案的评价机构颁发的高级</w:t>
            </w:r>
            <w:r>
              <w:rPr>
                <w:rFonts w:hint="eastAsia" w:ascii="宋体" w:hAnsi="宋体" w:eastAsia="宋体" w:cs="宋体"/>
                <w:color w:val="auto"/>
                <w:sz w:val="21"/>
                <w:szCs w:val="21"/>
                <w:highlight w:val="none"/>
                <w:lang w:val="en-US" w:eastAsia="zh-CN"/>
              </w:rPr>
              <w:t>技师</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一</w:t>
            </w:r>
            <w:r>
              <w:rPr>
                <w:rFonts w:hint="default" w:ascii="宋体" w:hAnsi="宋体" w:eastAsia="宋体" w:cs="宋体"/>
                <w:color w:val="auto"/>
                <w:sz w:val="21"/>
                <w:szCs w:val="21"/>
                <w:highlight w:val="none"/>
                <w:lang w:val="en-US" w:eastAsia="zh-CN"/>
              </w:rPr>
              <w:t>级）中式烹调师证书的，得</w:t>
            </w:r>
            <w:r>
              <w:rPr>
                <w:rFonts w:hint="default" w:ascii="宋体" w:hAnsi="宋体" w:cs="宋体"/>
                <w:color w:val="auto"/>
                <w:sz w:val="21"/>
                <w:szCs w:val="21"/>
                <w:highlight w:val="none"/>
                <w:lang w:val="en-US" w:eastAsia="zh-CN"/>
              </w:rPr>
              <w:t>5</w:t>
            </w:r>
            <w:r>
              <w:rPr>
                <w:rFonts w:hint="default" w:ascii="宋体" w:hAnsi="宋体" w:eastAsia="宋体" w:cs="宋体"/>
                <w:color w:val="auto"/>
                <w:sz w:val="21"/>
                <w:szCs w:val="21"/>
                <w:highlight w:val="none"/>
                <w:lang w:val="en-US" w:eastAsia="zh-CN"/>
              </w:rPr>
              <w:t>分；</w:t>
            </w:r>
          </w:p>
          <w:p w14:paraId="67EB7E6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单人多证的仅按其中最高等级证书计分</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本</w:t>
            </w:r>
            <w:r>
              <w:rPr>
                <w:rFonts w:hint="eastAsia" w:ascii="宋体" w:hAnsi="宋体" w:cs="宋体"/>
                <w:color w:val="auto"/>
                <w:sz w:val="21"/>
                <w:szCs w:val="21"/>
                <w:highlight w:val="none"/>
                <w:lang w:val="en-US" w:eastAsia="zh-CN"/>
              </w:rPr>
              <w:t>小</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lang w:val="zh-CN" w:eastAsia="zh-CN"/>
              </w:rPr>
              <w:t>最高得</w:t>
            </w:r>
            <w:r>
              <w:rPr>
                <w:rFonts w:hint="default"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分。</w:t>
            </w:r>
            <w:r>
              <w:rPr>
                <w:rFonts w:hint="eastAsia" w:ascii="宋体" w:hAnsi="宋体" w:eastAsia="宋体" w:cs="宋体"/>
                <w:color w:val="auto"/>
                <w:sz w:val="21"/>
                <w:szCs w:val="21"/>
                <w:highlight w:val="none"/>
                <w:lang w:val="zh-CN" w:eastAsia="zh-CN"/>
              </w:rPr>
              <w:br w:type="textWrapping"/>
            </w: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具有食品安全管理员证书的得1分</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本</w:t>
            </w:r>
            <w:r>
              <w:rPr>
                <w:rFonts w:hint="eastAsia" w:ascii="宋体" w:hAnsi="宋体" w:cs="宋体"/>
                <w:color w:val="auto"/>
                <w:sz w:val="21"/>
                <w:szCs w:val="21"/>
                <w:highlight w:val="none"/>
                <w:lang w:val="en-US" w:eastAsia="zh-CN"/>
              </w:rPr>
              <w:t>小</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lang w:val="zh-CN" w:eastAsia="zh-CN"/>
              </w:rPr>
              <w:t>最高得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zh-CN" w:eastAsia="zh-CN"/>
              </w:rPr>
              <w:t>分。</w:t>
            </w:r>
          </w:p>
          <w:p w14:paraId="5E09DB1B">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3.具有公共营养师或营养配餐员证书的得1分，单人多证的仅按其中一个证书计分，本小项最高得1分。</w:t>
            </w:r>
          </w:p>
        </w:tc>
        <w:tc>
          <w:tcPr>
            <w:tcW w:w="2159" w:type="dxa"/>
            <w:shd w:val="clear" w:color="auto" w:fill="auto"/>
            <w:noWrap w:val="0"/>
            <w:vAlign w:val="center"/>
          </w:tcPr>
          <w:p w14:paraId="2EC75510">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投标文件中提供</w:t>
            </w:r>
            <w:r>
              <w:rPr>
                <w:rFonts w:hint="eastAsia" w:ascii="宋体" w:hAnsi="宋体" w:cs="宋体"/>
                <w:color w:val="auto"/>
                <w:kern w:val="2"/>
                <w:sz w:val="21"/>
                <w:szCs w:val="21"/>
                <w:highlight w:val="none"/>
                <w:lang w:val="en-US" w:eastAsia="zh-CN" w:bidi="ar-SA"/>
              </w:rPr>
              <w:t>人员相应</w:t>
            </w:r>
            <w:r>
              <w:rPr>
                <w:rFonts w:hint="eastAsia" w:ascii="宋体" w:hAnsi="宋体" w:eastAsia="宋体" w:cs="宋体"/>
                <w:color w:val="auto"/>
                <w:kern w:val="2"/>
                <w:sz w:val="21"/>
                <w:szCs w:val="21"/>
                <w:highlight w:val="none"/>
                <w:lang w:val="en-US" w:eastAsia="zh-CN" w:bidi="ar-SA"/>
              </w:rPr>
              <w:t>证书复印件</w:t>
            </w:r>
            <w:r>
              <w:rPr>
                <w:rFonts w:hint="eastAsia" w:ascii="宋体" w:hAnsi="宋体" w:cs="宋体"/>
                <w:color w:val="auto"/>
                <w:kern w:val="2"/>
                <w:sz w:val="21"/>
                <w:szCs w:val="21"/>
                <w:highlight w:val="none"/>
                <w:lang w:val="en-US" w:eastAsia="zh-CN" w:bidi="ar-SA"/>
              </w:rPr>
              <w:t>及投标人为其缴纳的2026年07月以来任一月份的社保证明复印件，均</w:t>
            </w:r>
            <w:r>
              <w:rPr>
                <w:rFonts w:hint="eastAsia" w:ascii="宋体" w:hAnsi="宋体" w:eastAsia="宋体" w:cs="宋体"/>
                <w:color w:val="auto"/>
                <w:kern w:val="2"/>
                <w:sz w:val="21"/>
                <w:szCs w:val="21"/>
                <w:highlight w:val="none"/>
                <w:lang w:val="en-US" w:eastAsia="zh-CN" w:bidi="ar-SA"/>
              </w:rPr>
              <w:t>加盖投标人公章。未提供或无效的不得分。</w:t>
            </w:r>
          </w:p>
        </w:tc>
      </w:tr>
      <w:tr w14:paraId="4FA3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7" w:type="dxa"/>
            <w:noWrap w:val="0"/>
            <w:vAlign w:val="center"/>
          </w:tcPr>
          <w:p w14:paraId="6B4A3691">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3.5</w:t>
            </w:r>
          </w:p>
        </w:tc>
        <w:tc>
          <w:tcPr>
            <w:tcW w:w="1885" w:type="dxa"/>
            <w:shd w:val="clear" w:color="auto" w:fill="auto"/>
            <w:noWrap w:val="0"/>
            <w:vAlign w:val="center"/>
          </w:tcPr>
          <w:p w14:paraId="37193B06">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厨师实力</w:t>
            </w:r>
          </w:p>
        </w:tc>
        <w:tc>
          <w:tcPr>
            <w:tcW w:w="710" w:type="dxa"/>
            <w:shd w:val="clear" w:color="auto" w:fill="auto"/>
            <w:noWrap w:val="0"/>
            <w:vAlign w:val="center"/>
          </w:tcPr>
          <w:p w14:paraId="77BBA4B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15</w:t>
            </w:r>
          </w:p>
        </w:tc>
        <w:tc>
          <w:tcPr>
            <w:tcW w:w="5693" w:type="dxa"/>
            <w:shd w:val="clear" w:color="auto" w:fill="auto"/>
            <w:noWrap w:val="0"/>
            <w:vAlign w:val="center"/>
          </w:tcPr>
          <w:p w14:paraId="7671675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厨师（不含厨师长）中：</w:t>
            </w:r>
          </w:p>
          <w:p w14:paraId="5AE9736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具有人社部门或经人社部门备案的评价机构颁发的</w:t>
            </w:r>
            <w:r>
              <w:rPr>
                <w:rFonts w:hint="eastAsia" w:ascii="宋体" w:hAnsi="宋体" w:cs="宋体"/>
                <w:color w:val="auto"/>
                <w:sz w:val="21"/>
                <w:szCs w:val="21"/>
                <w:highlight w:val="none"/>
                <w:lang w:val="en-US" w:eastAsia="zh-CN"/>
              </w:rPr>
              <w:t>初级（五级）中式烹调师证书的，每有1人得1分；</w:t>
            </w:r>
          </w:p>
          <w:p w14:paraId="12424B3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具有人社部门或经人社部门备案的评价机构颁发的</w:t>
            </w:r>
            <w:r>
              <w:rPr>
                <w:rFonts w:hint="eastAsia" w:ascii="宋体" w:hAnsi="宋体" w:cs="宋体"/>
                <w:color w:val="auto"/>
                <w:sz w:val="21"/>
                <w:szCs w:val="21"/>
                <w:highlight w:val="none"/>
                <w:lang w:val="en-US" w:eastAsia="zh-CN"/>
              </w:rPr>
              <w:t>中级（四级）中式烹调师证书的，每有1人得</w:t>
            </w:r>
            <w:r>
              <w:rPr>
                <w:rFonts w:hint="default" w:ascii="宋体" w:hAnsi="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分；</w:t>
            </w:r>
          </w:p>
          <w:p w14:paraId="7B1784E6">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具有人社部门或经人社部门备案的评价机构颁发的</w:t>
            </w:r>
            <w:r>
              <w:rPr>
                <w:rFonts w:hint="eastAsia" w:ascii="宋体" w:hAnsi="宋体" w:cs="宋体"/>
                <w:color w:val="auto"/>
                <w:sz w:val="21"/>
                <w:szCs w:val="21"/>
                <w:highlight w:val="none"/>
                <w:lang w:val="en-US" w:eastAsia="zh-CN"/>
              </w:rPr>
              <w:t>高级（三级）及以上中式烹调师证书的，每有1人得</w:t>
            </w:r>
            <w:r>
              <w:rPr>
                <w:rFonts w:hint="default" w:ascii="宋体" w:hAnsi="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分；</w:t>
            </w:r>
          </w:p>
          <w:p w14:paraId="572C4553">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限评</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人，</w:t>
            </w:r>
            <w:r>
              <w:rPr>
                <w:rFonts w:hint="eastAsia" w:ascii="宋体" w:hAnsi="宋体" w:cs="宋体"/>
                <w:color w:val="auto"/>
                <w:sz w:val="21"/>
                <w:szCs w:val="21"/>
                <w:highlight w:val="none"/>
                <w:lang w:val="en-US" w:eastAsia="zh-CN"/>
              </w:rPr>
              <w:t>单人多证的仅按其中最高等级证书计分。本项</w:t>
            </w:r>
            <w:r>
              <w:rPr>
                <w:rFonts w:hint="eastAsia" w:ascii="宋体" w:hAnsi="宋体" w:eastAsia="宋体" w:cs="宋体"/>
                <w:color w:val="auto"/>
                <w:sz w:val="21"/>
                <w:szCs w:val="21"/>
                <w:highlight w:val="none"/>
                <w:lang w:val="zh-CN"/>
              </w:rPr>
              <w:t>最高得</w:t>
            </w:r>
            <w:r>
              <w:rPr>
                <w:rFonts w:hint="default"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zh-CN"/>
              </w:rPr>
              <w:t>分。</w:t>
            </w:r>
          </w:p>
        </w:tc>
        <w:tc>
          <w:tcPr>
            <w:tcW w:w="2159" w:type="dxa"/>
            <w:shd w:val="clear" w:color="auto" w:fill="auto"/>
            <w:noWrap w:val="0"/>
            <w:vAlign w:val="center"/>
          </w:tcPr>
          <w:p w14:paraId="7A427CD0">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投标文件中提供</w:t>
            </w:r>
            <w:r>
              <w:rPr>
                <w:rFonts w:hint="eastAsia" w:ascii="宋体" w:hAnsi="宋体" w:cs="宋体"/>
                <w:color w:val="auto"/>
                <w:kern w:val="2"/>
                <w:sz w:val="21"/>
                <w:szCs w:val="21"/>
                <w:highlight w:val="none"/>
                <w:lang w:val="en-US" w:eastAsia="zh-CN" w:bidi="ar-SA"/>
              </w:rPr>
              <w:t>人员</w:t>
            </w:r>
            <w:r>
              <w:rPr>
                <w:rFonts w:hint="eastAsia" w:ascii="宋体" w:hAnsi="宋体" w:eastAsia="宋体" w:cs="宋体"/>
                <w:color w:val="auto"/>
                <w:kern w:val="2"/>
                <w:sz w:val="21"/>
                <w:szCs w:val="21"/>
                <w:highlight w:val="none"/>
                <w:lang w:val="en-US" w:eastAsia="zh-CN" w:bidi="ar-SA"/>
              </w:rPr>
              <w:t>证书复印件</w:t>
            </w:r>
            <w:r>
              <w:rPr>
                <w:rFonts w:hint="eastAsia" w:ascii="宋体" w:hAnsi="宋体" w:cs="宋体"/>
                <w:color w:val="auto"/>
                <w:kern w:val="2"/>
                <w:sz w:val="21"/>
                <w:szCs w:val="21"/>
                <w:highlight w:val="none"/>
                <w:lang w:val="en-US" w:eastAsia="zh-CN" w:bidi="ar-SA"/>
              </w:rPr>
              <w:t>及投标人为其缴纳的2026年07月以来任一月份的社保证明复印件，均</w:t>
            </w:r>
            <w:r>
              <w:rPr>
                <w:rFonts w:hint="eastAsia" w:ascii="宋体" w:hAnsi="宋体" w:eastAsia="宋体" w:cs="宋体"/>
                <w:color w:val="auto"/>
                <w:kern w:val="2"/>
                <w:sz w:val="21"/>
                <w:szCs w:val="21"/>
                <w:highlight w:val="none"/>
                <w:lang w:val="en-US" w:eastAsia="zh-CN" w:bidi="ar-SA"/>
              </w:rPr>
              <w:t>加盖投标人公章。未提供或无效的不得分。</w:t>
            </w:r>
          </w:p>
        </w:tc>
      </w:tr>
      <w:tr w14:paraId="102E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7" w:type="dxa"/>
            <w:noWrap w:val="0"/>
            <w:vAlign w:val="center"/>
          </w:tcPr>
          <w:p w14:paraId="6CBC27D1">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3.6</w:t>
            </w:r>
          </w:p>
        </w:tc>
        <w:tc>
          <w:tcPr>
            <w:tcW w:w="1885" w:type="dxa"/>
            <w:shd w:val="clear" w:color="auto" w:fill="auto"/>
            <w:noWrap w:val="0"/>
            <w:vAlign w:val="center"/>
          </w:tcPr>
          <w:p w14:paraId="225B1F8B">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点心师实力</w:t>
            </w:r>
          </w:p>
        </w:tc>
        <w:tc>
          <w:tcPr>
            <w:tcW w:w="710" w:type="dxa"/>
            <w:shd w:val="clear" w:color="auto" w:fill="auto"/>
            <w:noWrap w:val="0"/>
            <w:vAlign w:val="center"/>
          </w:tcPr>
          <w:p w14:paraId="5F5AE520">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8</w:t>
            </w:r>
          </w:p>
        </w:tc>
        <w:tc>
          <w:tcPr>
            <w:tcW w:w="5693" w:type="dxa"/>
            <w:shd w:val="clear" w:color="auto" w:fill="auto"/>
            <w:noWrap w:val="0"/>
            <w:vAlign w:val="center"/>
          </w:tcPr>
          <w:p w14:paraId="472BE3E2">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点心师</w:t>
            </w:r>
            <w:r>
              <w:rPr>
                <w:rFonts w:hint="eastAsia" w:ascii="宋体" w:hAnsi="宋体" w:cs="宋体"/>
                <w:color w:val="auto"/>
                <w:sz w:val="21"/>
                <w:szCs w:val="21"/>
                <w:highlight w:val="none"/>
                <w:lang w:val="en-US" w:eastAsia="zh-CN"/>
              </w:rPr>
              <w:t>中：</w:t>
            </w:r>
          </w:p>
          <w:p w14:paraId="689E1AB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具有人社部门或经人社部门备案的评价机构颁发的初级（五级）中式面点师证书的，每有1人得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分；</w:t>
            </w:r>
          </w:p>
          <w:p w14:paraId="2B1EF803">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具有人社部门或经人社部门备案的评价机构颁发的中级（四级）中式面点师证书的，每有1人得</w:t>
            </w:r>
            <w:r>
              <w:rPr>
                <w:rFonts w:hint="default"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分；</w:t>
            </w:r>
          </w:p>
          <w:p w14:paraId="11F0A57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具有人社部门或经人社部门备案的评价机构颁发的高级（三级）及以上中式面点师证书的，每有1人得</w:t>
            </w:r>
            <w:r>
              <w:rPr>
                <w:rFonts w:hint="default"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分；</w:t>
            </w:r>
          </w:p>
          <w:p w14:paraId="468260E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leftChars="0" w:right="0" w:rightChars="0"/>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限评</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人，单人多证的仅按其中最高等级证书</w:t>
            </w:r>
            <w:r>
              <w:rPr>
                <w:rFonts w:hint="eastAsia" w:ascii="宋体" w:hAnsi="宋体" w:cs="宋体"/>
                <w:color w:val="auto"/>
                <w:sz w:val="21"/>
                <w:szCs w:val="21"/>
                <w:highlight w:val="none"/>
                <w:lang w:val="en-US" w:eastAsia="zh-CN"/>
              </w:rPr>
              <w:t>计分</w:t>
            </w:r>
            <w:r>
              <w:rPr>
                <w:rFonts w:hint="eastAsia" w:ascii="宋体" w:hAnsi="宋体" w:eastAsia="宋体" w:cs="宋体"/>
                <w:color w:val="auto"/>
                <w:sz w:val="21"/>
                <w:szCs w:val="21"/>
                <w:highlight w:val="none"/>
                <w:lang w:val="zh-CN"/>
              </w:rPr>
              <w:t>。本项最高得</w:t>
            </w:r>
            <w:r>
              <w:rPr>
                <w:rFonts w:hint="default"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zh-CN"/>
              </w:rPr>
              <w:t>分。</w:t>
            </w:r>
          </w:p>
        </w:tc>
        <w:tc>
          <w:tcPr>
            <w:tcW w:w="2159" w:type="dxa"/>
            <w:shd w:val="clear" w:color="auto" w:fill="auto"/>
            <w:noWrap w:val="0"/>
            <w:vAlign w:val="center"/>
          </w:tcPr>
          <w:p w14:paraId="1FE6BDC1">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38"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投标文件中提供</w:t>
            </w:r>
            <w:r>
              <w:rPr>
                <w:rFonts w:hint="eastAsia" w:ascii="宋体" w:hAnsi="宋体" w:cs="宋体"/>
                <w:color w:val="auto"/>
                <w:kern w:val="2"/>
                <w:sz w:val="21"/>
                <w:szCs w:val="21"/>
                <w:highlight w:val="none"/>
                <w:lang w:val="en-US" w:eastAsia="zh-CN" w:bidi="ar-SA"/>
              </w:rPr>
              <w:t>人员</w:t>
            </w:r>
            <w:r>
              <w:rPr>
                <w:rFonts w:hint="eastAsia" w:ascii="宋体" w:hAnsi="宋体" w:eastAsia="宋体" w:cs="宋体"/>
                <w:color w:val="auto"/>
                <w:kern w:val="2"/>
                <w:sz w:val="21"/>
                <w:szCs w:val="21"/>
                <w:highlight w:val="none"/>
                <w:lang w:val="en-US" w:eastAsia="zh-CN" w:bidi="ar-SA"/>
              </w:rPr>
              <w:t>证书复印件</w:t>
            </w:r>
            <w:r>
              <w:rPr>
                <w:rFonts w:hint="eastAsia" w:ascii="宋体" w:hAnsi="宋体" w:cs="宋体"/>
                <w:color w:val="auto"/>
                <w:kern w:val="2"/>
                <w:sz w:val="21"/>
                <w:szCs w:val="21"/>
                <w:highlight w:val="none"/>
                <w:lang w:val="en-US" w:eastAsia="zh-CN" w:bidi="ar-SA"/>
              </w:rPr>
              <w:t>及投标人为其缴纳的2026年07月以来任一月份的社保证明复印件，均</w:t>
            </w:r>
            <w:r>
              <w:rPr>
                <w:rFonts w:hint="eastAsia" w:ascii="宋体" w:hAnsi="宋体" w:eastAsia="宋体" w:cs="宋体"/>
                <w:color w:val="auto"/>
                <w:kern w:val="2"/>
                <w:sz w:val="21"/>
                <w:szCs w:val="21"/>
                <w:highlight w:val="none"/>
                <w:lang w:val="en-US" w:eastAsia="zh-CN" w:bidi="ar-SA"/>
              </w:rPr>
              <w:t>加盖投标人公章。未提供或无效的不得分。</w:t>
            </w:r>
          </w:p>
        </w:tc>
      </w:tr>
      <w:tr w14:paraId="6144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92" w:type="dxa"/>
            <w:gridSpan w:val="2"/>
            <w:noWrap w:val="0"/>
            <w:vAlign w:val="center"/>
          </w:tcPr>
          <w:p w14:paraId="503268F6">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合计</w:t>
            </w:r>
          </w:p>
        </w:tc>
        <w:tc>
          <w:tcPr>
            <w:tcW w:w="710" w:type="dxa"/>
            <w:noWrap w:val="0"/>
            <w:vAlign w:val="center"/>
          </w:tcPr>
          <w:p w14:paraId="1504128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firstLine="28"/>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100</w:t>
            </w:r>
          </w:p>
        </w:tc>
        <w:tc>
          <w:tcPr>
            <w:tcW w:w="7852" w:type="dxa"/>
            <w:gridSpan w:val="2"/>
            <w:noWrap w:val="0"/>
            <w:vAlign w:val="center"/>
          </w:tcPr>
          <w:p w14:paraId="1C59460F">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440" w:lineRule="exact"/>
              <w:ind w:left="0" w:right="0"/>
              <w:textAlignment w:val="auto"/>
              <w:outlineLvl w:val="9"/>
              <w:rPr>
                <w:rFonts w:hint="eastAsia" w:ascii="宋体" w:hAnsi="宋体" w:eastAsia="宋体" w:cs="宋体"/>
                <w:color w:val="auto"/>
                <w:sz w:val="21"/>
                <w:szCs w:val="21"/>
                <w:highlight w:val="none"/>
              </w:rPr>
            </w:pPr>
          </w:p>
        </w:tc>
      </w:tr>
    </w:tbl>
    <w:p w14:paraId="0782C799">
      <w:pPr>
        <w:keepNext w:val="0"/>
        <w:keepLines w:val="0"/>
        <w:pageBreakBefore w:val="0"/>
        <w:widowControl w:val="0"/>
        <w:kinsoku/>
        <w:wordWrap/>
        <w:overflowPunct/>
        <w:topLinePunct/>
        <w:autoSpaceDE/>
        <w:autoSpaceDN/>
        <w:bidi w:val="0"/>
        <w:adjustRightInd w:val="0"/>
        <w:snapToGrid w:val="0"/>
        <w:spacing w:line="360" w:lineRule="auto"/>
        <w:rPr>
          <w:rFonts w:hint="eastAsia" w:ascii="宋体" w:hAnsi="宋体" w:eastAsia="宋体" w:cs="宋体"/>
          <w:b/>
          <w:color w:val="auto"/>
          <w:sz w:val="32"/>
          <w:szCs w:val="32"/>
          <w:highlight w:val="none"/>
        </w:rPr>
      </w:pPr>
      <w:r>
        <w:rPr>
          <w:rFonts w:hint="eastAsia" w:ascii="宋体" w:hAnsi="宋体" w:eastAsia="宋体" w:cs="宋体"/>
          <w:b w:val="0"/>
          <w:bCs/>
          <w:color w:val="auto"/>
          <w:sz w:val="21"/>
          <w:szCs w:val="21"/>
          <w:highlight w:val="none"/>
        </w:rPr>
        <w:br w:type="page"/>
      </w:r>
    </w:p>
    <w:p w14:paraId="75B4EC76">
      <w:pPr>
        <w:keepNext w:val="0"/>
        <w:keepLines w:val="0"/>
        <w:pageBreakBefore w:val="0"/>
        <w:widowControl w:val="0"/>
        <w:shd w:val="clear"/>
        <w:kinsoku/>
        <w:wordWrap/>
        <w:overflowPunct/>
        <w:topLinePunct/>
        <w:autoSpaceDE/>
        <w:autoSpaceDN/>
        <w:bidi w:val="0"/>
        <w:adjustRightInd w:val="0"/>
        <w:snapToGrid w:val="0"/>
        <w:spacing w:line="360" w:lineRule="auto"/>
        <w:jc w:val="center"/>
        <w:outlineLvl w:val="0"/>
        <w:rPr>
          <w:rFonts w:hint="eastAsia" w:ascii="宋体" w:hAnsi="宋体" w:eastAsia="宋体" w:cs="宋体"/>
          <w:b/>
          <w:color w:val="auto"/>
          <w:sz w:val="32"/>
          <w:szCs w:val="32"/>
          <w:highlight w:val="none"/>
        </w:rPr>
      </w:pPr>
      <w:bookmarkStart w:id="5" w:name="_Toc30576"/>
      <w:r>
        <w:rPr>
          <w:rFonts w:hint="eastAsia" w:ascii="宋体" w:hAnsi="宋体" w:eastAsia="宋体" w:cs="宋体"/>
          <w:b/>
          <w:color w:val="auto"/>
          <w:sz w:val="32"/>
          <w:szCs w:val="32"/>
          <w:highlight w:val="none"/>
        </w:rPr>
        <w:t>第五章</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采购需求</w:t>
      </w:r>
      <w:bookmarkEnd w:id="5"/>
    </w:p>
    <w:p w14:paraId="7C53C2A5">
      <w:pPr>
        <w:pStyle w:val="27"/>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leftChars="0"/>
        <w:contextualSpacing/>
        <w:textAlignment w:val="auto"/>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rPr>
        <w:t>采购标的</w:t>
      </w:r>
    </w:p>
    <w:p w14:paraId="4E67F58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1.项目编号：</w:t>
      </w:r>
      <w:r>
        <w:rPr>
          <w:rFonts w:hint="eastAsia" w:ascii="宋体" w:hAnsi="宋体" w:cs="宋体"/>
          <w:color w:val="auto"/>
          <w:sz w:val="21"/>
          <w:szCs w:val="21"/>
          <w:highlight w:val="none"/>
          <w:u w:val="none"/>
          <w:lang w:eastAsia="zh-CN"/>
        </w:rPr>
        <w:t>JSZC-320404-QFZB-G2026-0012</w:t>
      </w:r>
    </w:p>
    <w:p w14:paraId="3B96517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2.项目名称：常州市钟楼区行政中心机关食堂餐饮服务及管理项目</w:t>
      </w:r>
    </w:p>
    <w:p w14:paraId="76EF432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3.项目预算金额：8,362,800.00元/三年，2,787,600.00元/年</w:t>
      </w:r>
    </w:p>
    <w:p w14:paraId="0D4F768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4.项目最高限价：8,362,800.00元/三年，2,787,600.00元/年</w:t>
      </w:r>
    </w:p>
    <w:p w14:paraId="2DD51CC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采购需求：本项目为常州市钟楼区行政中心机关食堂餐饮服务及管理项目，主要包括食堂服务及管理；一日三餐的加工制作；餐后餐具回收清洗；食堂环境卫生保洁；食品安全卫生和质量控制等服务管理工作；配合采购人做好食堂原辅料采购验收及食堂日常运行管理工作等，以及完成本项目相关的其他工作。</w:t>
      </w:r>
    </w:p>
    <w:p w14:paraId="2150D74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6.合同履行期限：三年，合同一年一签，每年合同期满经采购人考核合格后续签下一年度合同。</w:t>
      </w:r>
    </w:p>
    <w:p w14:paraId="34F9D3F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outlineLvl w:val="9"/>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7.是否接受联合体投标：否；</w:t>
      </w:r>
    </w:p>
    <w:p w14:paraId="4F85E70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outlineLvl w:val="9"/>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8.是否接受分支机构参与响应：否；</w:t>
      </w:r>
    </w:p>
    <w:p w14:paraId="71698B9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outlineLvl w:val="9"/>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9.是否属于政府购买服务：是；</w:t>
      </w:r>
    </w:p>
    <w:p w14:paraId="1D0A6E7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outlineLvl w:val="9"/>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10.是否接受进口产品投标：否；</w:t>
      </w:r>
    </w:p>
    <w:p w14:paraId="3190EF0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outlineLvl w:val="9"/>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11.是否专门面向中小企业预留采购份额：是；</w:t>
      </w:r>
    </w:p>
    <w:p w14:paraId="13B306C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outlineLvl w:val="9"/>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12.本项目的特定资格要求：</w:t>
      </w:r>
      <w:r>
        <w:rPr>
          <w:rFonts w:hint="eastAsia" w:ascii="宋体" w:hAnsi="宋体" w:cs="宋体"/>
          <w:bCs/>
          <w:szCs w:val="21"/>
          <w:highlight w:val="none"/>
        </w:rPr>
        <w:t>具有有效的《食品经营许可证》</w:t>
      </w:r>
      <w:r>
        <w:rPr>
          <w:rFonts w:hint="eastAsia" w:ascii="宋体" w:hAnsi="宋体" w:cs="宋体"/>
          <w:b w:val="0"/>
          <w:bCs/>
          <w:color w:val="auto"/>
          <w:sz w:val="21"/>
          <w:szCs w:val="21"/>
          <w:highlight w:val="none"/>
          <w:lang w:val="en-US" w:eastAsia="zh-CN"/>
        </w:rPr>
        <w:t>；</w:t>
      </w:r>
    </w:p>
    <w:p w14:paraId="1C35617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outlineLvl w:val="9"/>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13.项目类别：服务类；</w:t>
      </w:r>
    </w:p>
    <w:p w14:paraId="5DFB6BE6">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outlineLvl w:val="9"/>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14.是否包含产品采购：否。</w:t>
      </w:r>
    </w:p>
    <w:p w14:paraId="33AAA1D5">
      <w:pPr>
        <w:pStyle w:val="27"/>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contextualSpacing/>
        <w:textAlignment w:val="auto"/>
        <w:outlineLvl w:val="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商务要求</w:t>
      </w:r>
    </w:p>
    <w:p w14:paraId="1835AA12">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2"/>
        <w:rPr>
          <w:rFonts w:hint="eastAsia" w:ascii="宋体" w:hAnsi="宋体" w:eastAsia="宋体" w:cs="宋体"/>
          <w:b/>
          <w:bCs/>
          <w:i/>
          <w:color w:val="auto"/>
          <w:sz w:val="21"/>
          <w:szCs w:val="21"/>
          <w:highlight w:val="none"/>
        </w:rPr>
      </w:pP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实施期限和地点</w:t>
      </w:r>
    </w:p>
    <w:p w14:paraId="3977896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i w:val="0"/>
          <w:iCs/>
          <w:color w:val="auto"/>
          <w:sz w:val="21"/>
          <w:szCs w:val="21"/>
          <w:highlight w:val="none"/>
          <w:lang w:val="en-US" w:eastAsia="zh-CN"/>
        </w:rPr>
      </w:pPr>
      <w:r>
        <w:rPr>
          <w:rFonts w:hint="eastAsia" w:ascii="宋体" w:hAnsi="宋体" w:cs="宋体"/>
          <w:i w:val="0"/>
          <w:iCs/>
          <w:color w:val="auto"/>
          <w:sz w:val="21"/>
          <w:szCs w:val="21"/>
          <w:highlight w:val="none"/>
          <w:lang w:val="en-US" w:eastAsia="zh-CN"/>
        </w:rPr>
        <w:t>1.</w:t>
      </w:r>
      <w:r>
        <w:rPr>
          <w:rFonts w:hint="eastAsia" w:ascii="宋体" w:hAnsi="宋体" w:eastAsia="宋体" w:cs="宋体"/>
          <w:i w:val="0"/>
          <w:iCs/>
          <w:color w:val="auto"/>
          <w:sz w:val="21"/>
          <w:szCs w:val="21"/>
          <w:highlight w:val="none"/>
          <w:lang w:val="en-US" w:eastAsia="zh-CN"/>
        </w:rPr>
        <w:t>实施期限</w:t>
      </w:r>
      <w:r>
        <w:rPr>
          <w:rFonts w:hint="eastAsia" w:ascii="宋体" w:hAnsi="宋体" w:cs="宋体"/>
          <w:i w:val="0"/>
          <w:iCs/>
          <w:color w:val="auto"/>
          <w:sz w:val="21"/>
          <w:szCs w:val="21"/>
          <w:highlight w:val="none"/>
          <w:lang w:val="en-US" w:eastAsia="zh-CN"/>
        </w:rPr>
        <w:t>：三年，合同一年一签，每年合同期满经采购人考核合格后续签下一年度合同。</w:t>
      </w:r>
    </w:p>
    <w:p w14:paraId="04673FA1">
      <w:pPr>
        <w:pStyle w:val="8"/>
        <w:keepNext w:val="0"/>
        <w:keepLines w:val="0"/>
        <w:pageBreakBefore w:val="0"/>
        <w:widowControl w:val="0"/>
        <w:numPr>
          <w:ilvl w:val="0"/>
          <w:numId w:val="0"/>
        </w:numPr>
        <w:shd w:val="clear"/>
        <w:kinsoku/>
        <w:wordWrap/>
        <w:overflowPunct/>
        <w:topLinePunct/>
        <w:autoSpaceDE/>
        <w:autoSpaceDN/>
        <w:bidi w:val="0"/>
        <w:adjustRightInd w:val="0"/>
        <w:snapToGrid w:val="0"/>
        <w:spacing w:before="0" w:line="360" w:lineRule="auto"/>
        <w:ind w:firstLine="420" w:firstLineChars="200"/>
        <w:textAlignment w:val="auto"/>
        <w:rPr>
          <w:rFonts w:hint="default" w:cs="宋体"/>
          <w:b w:val="0"/>
          <w:bCs w:val="0"/>
          <w:color w:val="auto"/>
          <w:sz w:val="21"/>
          <w:szCs w:val="21"/>
          <w:highlight w:val="none"/>
          <w:lang w:val="en-US" w:eastAsia="zh-CN"/>
        </w:rPr>
      </w:pPr>
      <w:r>
        <w:rPr>
          <w:rFonts w:hint="eastAsia" w:cs="宋体"/>
          <w:iCs/>
          <w:color w:val="auto"/>
          <w:sz w:val="21"/>
          <w:szCs w:val="21"/>
          <w:highlight w:val="none"/>
          <w:lang w:val="en-US" w:eastAsia="zh-CN"/>
        </w:rPr>
        <w:t>2.</w:t>
      </w:r>
      <w:r>
        <w:rPr>
          <w:rFonts w:hint="eastAsia" w:ascii="宋体" w:hAnsi="宋体" w:eastAsia="宋体" w:cs="宋体"/>
          <w:iCs/>
          <w:color w:val="auto"/>
          <w:sz w:val="21"/>
          <w:szCs w:val="21"/>
          <w:highlight w:val="none"/>
          <w:lang w:val="en-US" w:eastAsia="zh-CN"/>
        </w:rPr>
        <w:t>实施地点</w:t>
      </w:r>
      <w:r>
        <w:rPr>
          <w:rFonts w:hint="eastAsia" w:cs="宋体"/>
          <w:iCs/>
          <w:color w:val="auto"/>
          <w:sz w:val="21"/>
          <w:szCs w:val="21"/>
          <w:highlight w:val="none"/>
          <w:lang w:val="en-US" w:eastAsia="zh-CN"/>
        </w:rPr>
        <w:t>：常州市钟楼区</w:t>
      </w:r>
      <w:r>
        <w:rPr>
          <w:rFonts w:hint="eastAsia" w:cs="宋体"/>
          <w:b w:val="0"/>
          <w:bCs w:val="0"/>
          <w:color w:val="auto"/>
          <w:sz w:val="21"/>
          <w:szCs w:val="21"/>
          <w:highlight w:val="none"/>
          <w:lang w:val="en-US" w:eastAsia="zh-CN"/>
        </w:rPr>
        <w:t>行政中心机关食堂二楼。</w:t>
      </w:r>
    </w:p>
    <w:p w14:paraId="7369E319">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2"/>
        <w:rPr>
          <w:rFonts w:hint="eastAsia" w:ascii="宋体" w:hAnsi="宋体" w:cs="宋体"/>
          <w:b/>
          <w:bCs w:val="0"/>
          <w:color w:val="auto"/>
          <w:sz w:val="21"/>
          <w:szCs w:val="21"/>
          <w:highlight w:val="none"/>
          <w:lang w:val="en-US" w:eastAsia="zh-CN"/>
        </w:rPr>
      </w:pPr>
      <w:r>
        <w:rPr>
          <w:rFonts w:hint="eastAsia" w:ascii="宋体" w:hAnsi="宋体" w:cs="宋体"/>
          <w:b/>
          <w:bCs w:val="0"/>
          <w:color w:val="auto"/>
          <w:sz w:val="21"/>
          <w:szCs w:val="21"/>
          <w:highlight w:val="none"/>
          <w:lang w:val="en-US" w:eastAsia="zh-CN"/>
        </w:rPr>
        <w:t>（二）付款条件</w:t>
      </w:r>
    </w:p>
    <w:p w14:paraId="068A12A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1.合同价款形式：总价合同。</w:t>
      </w:r>
    </w:p>
    <w:p w14:paraId="35C5EEDA">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2.付款方式</w:t>
      </w:r>
    </w:p>
    <w:p w14:paraId="0C0E7AF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（1）合同签订并收到中标人开具的发票后10个工作日内支付年度合同价款的10%作为预付款。</w:t>
      </w:r>
      <w:r>
        <w:rPr>
          <w:rFonts w:hint="eastAsia" w:ascii="宋体" w:hAnsi="宋体" w:eastAsia="宋体" w:cs="宋体"/>
          <w:sz w:val="21"/>
          <w:szCs w:val="21"/>
          <w:highlight w:val="none"/>
          <w:lang w:val="en-US" w:eastAsia="zh-CN"/>
        </w:rPr>
        <w:t>（中标人明确表示无需预付款或者主动要求降低预付款比例的，采购人可不适用前述规定）。</w:t>
      </w:r>
    </w:p>
    <w:p w14:paraId="72B8873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剩余合同价款的90%采购人按月支付服务费用。采购人于每月20日前支付上月服务费用，但实际结算金额需扣除对应月份的考核扣款、违约金罚金（如有）等各类应扣费用，即每月实际结算金额=（年度合同价款×90%÷12）-考核扣款、违约金罚金（如有）等各类应扣费用。</w:t>
      </w:r>
    </w:p>
    <w:p w14:paraId="3C85185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每次付款时，中标人应跟采购人确定对应月份结算金额，并按要求开具本项目内容的有效发票，凭票向采购人申请付款，对于满足合同约定支付条件的，采购人原则上应当自收到发票后10个工作日内将资金支付到合同约定的中标人账户。因中标人未及时提供发票及有关付款材料导致相应后果的，采购人不承担任何责任。</w:t>
      </w:r>
    </w:p>
    <w:p w14:paraId="054CA69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（4）合同价款在服务期间不因薪资政策调整、市场变化等任何因素而变动。</w:t>
      </w:r>
    </w:p>
    <w:p w14:paraId="0EA9ADD2">
      <w:pPr>
        <w:keepNext w:val="0"/>
        <w:keepLines w:val="0"/>
        <w:pageBreakBefore w:val="0"/>
        <w:widowControl w:val="0"/>
        <w:tabs>
          <w:tab w:val="left" w:pos="360"/>
          <w:tab w:val="left" w:pos="900"/>
        </w:tabs>
        <w:kinsoku/>
        <w:wordWrap/>
        <w:overflowPunct/>
        <w:topLinePunct/>
        <w:autoSpaceDE/>
        <w:autoSpaceDN/>
        <w:bidi w:val="0"/>
        <w:adjustRightInd w:val="0"/>
        <w:snapToGrid w:val="0"/>
        <w:spacing w:line="360" w:lineRule="auto"/>
        <w:textAlignment w:val="auto"/>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三、</w:t>
      </w:r>
      <w:r>
        <w:rPr>
          <w:rFonts w:hint="eastAsia" w:ascii="宋体" w:hAnsi="宋体" w:eastAsia="宋体" w:cs="宋体"/>
          <w:b/>
          <w:color w:val="auto"/>
          <w:sz w:val="21"/>
          <w:szCs w:val="21"/>
          <w:highlight w:val="none"/>
        </w:rPr>
        <w:t>技术要求</w:t>
      </w:r>
      <w:bookmarkStart w:id="6" w:name="_Toc202806277"/>
    </w:p>
    <w:p w14:paraId="63457EDE">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1"/>
        <w:rPr>
          <w:rFonts w:hint="default" w:ascii="宋体" w:hAnsi="宋体" w:cs="宋体"/>
          <w:b/>
          <w:bCs w:val="0"/>
          <w:color w:val="auto"/>
          <w:sz w:val="21"/>
          <w:szCs w:val="21"/>
          <w:highlight w:val="none"/>
          <w:lang w:val="en-US" w:eastAsia="zh-CN"/>
        </w:rPr>
      </w:pPr>
      <w:r>
        <w:rPr>
          <w:rFonts w:hint="eastAsia" w:ascii="宋体" w:hAnsi="宋体" w:cs="宋体"/>
          <w:b/>
          <w:bCs w:val="0"/>
          <w:color w:val="auto"/>
          <w:sz w:val="21"/>
          <w:szCs w:val="21"/>
          <w:highlight w:val="none"/>
          <w:lang w:val="en-US" w:eastAsia="zh-CN"/>
        </w:rPr>
        <w:t>（一）项目基本情况</w:t>
      </w:r>
    </w:p>
    <w:p w14:paraId="6520C2C5">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1.食堂（含餐厅）面积：约2700.00平方米；餐位：约600个，具体以现场实际情况为准。</w:t>
      </w:r>
    </w:p>
    <w:p w14:paraId="75AF637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2.餐饮供餐情况</w:t>
      </w:r>
    </w:p>
    <w:p w14:paraId="6F31033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（1）工作日</w:t>
      </w:r>
    </w:p>
    <w:p w14:paraId="19C13AE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早餐约600人用餐，应开至少2条售卖线。</w:t>
      </w:r>
    </w:p>
    <w:p w14:paraId="045A920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午餐约1500人用餐，应开至少5条售卖线。</w:t>
      </w:r>
    </w:p>
    <w:p w14:paraId="2CE10AA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晚餐约300人用餐，应开至少1条售卖线。</w:t>
      </w:r>
    </w:p>
    <w:p w14:paraId="73BD7D6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注：应具体根据现场就餐情况动态增加售卖线。</w:t>
      </w:r>
    </w:p>
    <w:p w14:paraId="001C15E9">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kern w:val="2"/>
          <w:sz w:val="21"/>
          <w:szCs w:val="21"/>
          <w:highlight w:val="none"/>
          <w:lang w:val="en-US" w:eastAsia="zh-CN" w:bidi="ar-SA"/>
        </w:rPr>
        <w:t>（2）</w:t>
      </w:r>
      <w:r>
        <w:rPr>
          <w:rFonts w:hint="eastAsia" w:ascii="宋体" w:hAnsi="宋体" w:cs="宋体"/>
          <w:bCs/>
          <w:color w:val="auto"/>
          <w:sz w:val="21"/>
          <w:szCs w:val="21"/>
          <w:highlight w:val="none"/>
          <w:lang w:val="en-US" w:eastAsia="zh-CN"/>
        </w:rPr>
        <w:t>双休日、节假日</w:t>
      </w:r>
    </w:p>
    <w:p w14:paraId="20D6AF5A">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星期六供应午餐，约300人用餐。</w:t>
      </w:r>
    </w:p>
    <w:p w14:paraId="52821CCB">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contextualSpacing/>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星期日、节假日不供餐。特殊情况除外。</w:t>
      </w:r>
    </w:p>
    <w:p w14:paraId="2AAD4854">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contextualSpacing/>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如遇相关特殊情况及法定调休等情形，投标人应具体根据行政中心工作情况及采购人需求安排餐饮供餐及服务。</w:t>
      </w:r>
    </w:p>
    <w:p w14:paraId="6EF4A381">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3.品种要求</w:t>
      </w:r>
    </w:p>
    <w:p w14:paraId="2A067D0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早餐：小菜、粥、面食、点心等。</w:t>
      </w:r>
    </w:p>
    <w:p w14:paraId="2F4C25D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午餐：菜品20-30种、饭、面食、小炒等。半个月菜品不重复，菜品以本地菜为主，提供川菜、粤菜及其他地区特色菜选择。</w:t>
      </w:r>
    </w:p>
    <w:p w14:paraId="6243C27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晚餐：菜品10-15种、饭、面食、小炒等。半个月菜品不重复，菜品以本地菜为主，提供川菜、粤菜及其他地区特色菜选择。</w:t>
      </w:r>
    </w:p>
    <w:p w14:paraId="1A9676E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4.供应时间</w:t>
      </w:r>
    </w:p>
    <w:p w14:paraId="5FD69F3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早餐：07:30-08:45</w:t>
      </w:r>
    </w:p>
    <w:p w14:paraId="1DC213D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午餐：11:15-12:30</w:t>
      </w:r>
    </w:p>
    <w:p w14:paraId="2272667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晚餐：17:30-18:30</w:t>
      </w:r>
    </w:p>
    <w:p w14:paraId="1AF0812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5.经营形式：委托经营管理</w:t>
      </w:r>
    </w:p>
    <w:p w14:paraId="5FE1B62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（1）采购人负责原辅料食材的采购、验收和保管；成本核算及核定菜品价格；菜单的审核等。</w:t>
      </w:r>
    </w:p>
    <w:p w14:paraId="4D29186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（2）采购人负责提供食堂内所需厨房设备、设施及餐饮用具；负责提供窗口IC卡刷卡机及IC卡结算服务；负责网络处理。</w:t>
      </w:r>
    </w:p>
    <w:p w14:paraId="619BFFC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（3）投标人负责招聘、录用所需服务人员，负责食堂日常的生产、经营、接待、卫生等工作，并支付一切费用。</w:t>
      </w:r>
    </w:p>
    <w:p w14:paraId="12868E6F">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1"/>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（二）基本服务要求</w:t>
      </w:r>
    </w:p>
    <w:p w14:paraId="4A10046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1.投标人必须严格</w:t>
      </w:r>
      <w:r>
        <w:rPr>
          <w:rFonts w:hint="eastAsia" w:ascii="宋体" w:hAnsi="宋体" w:cs="宋体"/>
          <w:color w:val="000000"/>
          <w:kern w:val="0"/>
          <w:sz w:val="21"/>
          <w:szCs w:val="21"/>
          <w:highlight w:val="none"/>
          <w:lang w:val="en-US" w:eastAsia="zh-CN"/>
        </w:rPr>
        <w:t>遵守《中华人民共和国食品安全法》</w:t>
      </w:r>
      <w:r>
        <w:rPr>
          <w:rFonts w:hint="eastAsia" w:ascii="宋体" w:hAnsi="宋体" w:eastAsia="宋体" w:cs="宋体"/>
          <w:color w:val="000000"/>
          <w:kern w:val="0"/>
          <w:sz w:val="21"/>
          <w:szCs w:val="21"/>
          <w:highlight w:val="none"/>
          <w:lang w:val="en-US" w:eastAsia="zh-CN"/>
        </w:rPr>
        <w:t>及相关法律法规，严把食品安全卫生质量关，投标人食堂管理必须符合卫生监督部门的相关要求。</w:t>
      </w:r>
    </w:p>
    <w:p w14:paraId="1D8D221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2.投标人必须配备一名持证</w:t>
      </w:r>
      <w:r>
        <w:rPr>
          <w:rFonts w:hint="eastAsia" w:ascii="宋体" w:hAnsi="宋体" w:cs="宋体"/>
          <w:color w:val="000000"/>
          <w:kern w:val="0"/>
          <w:sz w:val="21"/>
          <w:szCs w:val="21"/>
          <w:highlight w:val="none"/>
          <w:lang w:val="en-US" w:eastAsia="zh-CN"/>
        </w:rPr>
        <w:t>食品安全总监（由项目负责人兼任）及一名持证食品安全管理员</w:t>
      </w:r>
      <w:r>
        <w:rPr>
          <w:rFonts w:hint="eastAsia" w:ascii="宋体" w:hAnsi="宋体" w:eastAsia="宋体" w:cs="宋体"/>
          <w:color w:val="000000"/>
          <w:kern w:val="0"/>
          <w:sz w:val="21"/>
          <w:szCs w:val="21"/>
          <w:highlight w:val="none"/>
          <w:lang w:val="en-US" w:eastAsia="zh-CN"/>
        </w:rPr>
        <w:t>，负责本食堂餐饮服务及管理的卫生和安全监督及管理工作，依据有关法律和规定：督促落实餐饮服务过程控制要求；检查食品安全管理制度执行情况，管理维护餐饮服务过程记录材料，按照要求保存相关资料；对不符合食品安全标准的食品或者有证据证明可能危害人体健康的食品以及发现的食品安全风险隐患，及时采取有效措施整改并报告；记录和管理从业人员健康状况、卫生状况；配合有关部门调查处理食品安全事故；以及承担其他食品安全管理责任。采购人有权对</w:t>
      </w:r>
      <w:r>
        <w:rPr>
          <w:rFonts w:hint="eastAsia" w:ascii="宋体" w:hAnsi="宋体" w:cs="宋体"/>
          <w:color w:val="000000"/>
          <w:kern w:val="0"/>
          <w:sz w:val="21"/>
          <w:szCs w:val="21"/>
          <w:highlight w:val="none"/>
          <w:lang w:val="en-US" w:eastAsia="zh-CN"/>
        </w:rPr>
        <w:t>食品安全总监、食品安全管理员</w:t>
      </w:r>
      <w:r>
        <w:rPr>
          <w:rFonts w:hint="eastAsia" w:ascii="宋体" w:hAnsi="宋体" w:eastAsia="宋体" w:cs="宋体"/>
          <w:color w:val="000000"/>
          <w:kern w:val="0"/>
          <w:sz w:val="21"/>
          <w:szCs w:val="21"/>
          <w:highlight w:val="none"/>
          <w:lang w:val="en-US" w:eastAsia="zh-CN"/>
        </w:rPr>
        <w:t>的工作进行监督和业务指导。</w:t>
      </w:r>
    </w:p>
    <w:p w14:paraId="1C0DF8F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3.投标人必须按食堂安全卫生管理要求，做好每天的食品留样</w:t>
      </w:r>
      <w:r>
        <w:rPr>
          <w:rFonts w:hint="eastAsia" w:ascii="宋体" w:hAnsi="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lang w:val="en-US" w:eastAsia="zh-CN"/>
        </w:rPr>
        <w:t>并做好台账登记和管理工作。</w:t>
      </w:r>
    </w:p>
    <w:p w14:paraId="1A1C7CF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4.投标人必须建立健全各类餐饮卫生管理制度和岗位责任制，加强从业人员的培训与管理，严把员工素质关，做到管理规范化、服务标准化，杜绝任何食品安全卫生责任事故的发生。若因投标人的加工制作、安全卫生等问题所引发的责任事故，一切后果均由投标人负责。</w:t>
      </w:r>
    </w:p>
    <w:p w14:paraId="167D5D1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5.投标人负责提供适口、新鲜、卫生的膳食和热情的服务，同时严格控制主辅料的搭配及调味品的使用和管理，有效利用原材料，杜绝浪费，以降低成本。</w:t>
      </w:r>
    </w:p>
    <w:p w14:paraId="468ACA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6.必须严格按照《中华人民共和国劳动法》及相关规定，规范用工及支付职工薪酬，必须符合本地最低工资标准和社会保险缴费要求，不得拖欠克扣员工应有待遇，确保职工的相关权益，从而保证用工合法性和人员队伍稳定性。如因用工不规范或薪酬问题等产生的纠纷与</w:t>
      </w:r>
      <w:r>
        <w:rPr>
          <w:rFonts w:hint="eastAsia" w:ascii="宋体" w:hAnsi="宋体" w:cs="宋体"/>
          <w:color w:val="000000"/>
          <w:kern w:val="0"/>
          <w:sz w:val="21"/>
          <w:szCs w:val="21"/>
          <w:highlight w:val="none"/>
          <w:lang w:val="en-US" w:eastAsia="zh-CN"/>
        </w:rPr>
        <w:t>采购人</w:t>
      </w:r>
      <w:r>
        <w:rPr>
          <w:rFonts w:hint="eastAsia" w:ascii="宋体" w:hAnsi="宋体" w:eastAsia="宋体" w:cs="宋体"/>
          <w:color w:val="000000"/>
          <w:kern w:val="0"/>
          <w:sz w:val="21"/>
          <w:szCs w:val="21"/>
          <w:highlight w:val="none"/>
          <w:lang w:val="en-US" w:eastAsia="zh-CN"/>
        </w:rPr>
        <w:t>无关，由乙方负责解决。如发生债权、债务纠纷和工伤等责任事故，均由乙方负责承担。</w:t>
      </w:r>
    </w:p>
    <w:p w14:paraId="57AE660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7.投标人必须做到节约使用食堂水、电、气及易耗品，降低能耗，减少浪费，建立节约奖惩机制。</w:t>
      </w:r>
    </w:p>
    <w:p w14:paraId="17042F2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8.投标人必须负责服务期内厨、灶、餐饮用具及水、电、气等设施的日常维护保养。</w:t>
      </w:r>
    </w:p>
    <w:p w14:paraId="2C2E84A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9.投标人必须在规定范围内合法依规工作，按采购人规定的加工制作、销售的流程进行加工制作和销售。</w:t>
      </w:r>
    </w:p>
    <w:p w14:paraId="50774CD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10.合同期间，因投标人人为因素造成设备、设施及餐饮用具损坏、丢失的，则由投标人自己负责维修或赔偿。合同终止、提前解除时，投标人交还给采购人的设备、设施必须完好无损可用，否则要给予赔偿。</w:t>
      </w:r>
    </w:p>
    <w:p w14:paraId="2564F78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11.</w:t>
      </w:r>
      <w:r>
        <w:rPr>
          <w:rFonts w:hint="eastAsia" w:ascii="宋体" w:hAnsi="宋体" w:eastAsia="宋体" w:cs="宋体"/>
          <w:color w:val="000000"/>
          <w:kern w:val="0"/>
          <w:sz w:val="21"/>
          <w:szCs w:val="21"/>
          <w:highlight w:val="none"/>
          <w:lang w:val="en-US" w:eastAsia="zh-CN" w:bidi="ar-SA"/>
        </w:rPr>
        <w:t>投标人出现下列违规情形之一的，采购人有权单次处以【人民币1,000.00元】的违约金，同时责令投标人限期整改：</w:t>
      </w:r>
    </w:p>
    <w:p w14:paraId="578CBD9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（1）未按采购人规定时间供餐、提前收餐、服务不规范，不服从采购人日常管理、督查整改要求的；</w:t>
      </w:r>
    </w:p>
    <w:p w14:paraId="4DEC1F7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（2）食品留样不规范、台账记录不全、虚假记录；</w:t>
      </w:r>
    </w:p>
    <w:p w14:paraId="2949B49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（3）存在人为浪费水电气、耗材、食材等，经采购人提醒仍不整改的；</w:t>
      </w:r>
    </w:p>
    <w:p w14:paraId="4C7B2BC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（4）投标人员工私拿、私吃食堂食材、物品，售卖及结算过程中私自收取现金、违规操作的；</w:t>
      </w:r>
    </w:p>
    <w:p w14:paraId="2ED0B84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（5）食堂厨房、餐厅卫生不达标、消杀不到位、存在异味、垃圾堆积、餐具清洁消毒不合格的；</w:t>
      </w:r>
    </w:p>
    <w:p w14:paraId="7757E62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（6）员工着装、持证上岗、个人卫生不符合规范，关键岗位人员擅自离岗、违规上岗的；</w:t>
      </w:r>
    </w:p>
    <w:p w14:paraId="3DF7644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（7）未按约定更新菜品或者菜品重复供应的；</w:t>
      </w:r>
    </w:p>
    <w:p w14:paraId="3242220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（8）其他违反本合同服务标准、管理制度的轻微违规行为。</w:t>
      </w:r>
    </w:p>
    <w:p w14:paraId="42BE6B4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sz w:val="21"/>
          <w:szCs w:val="21"/>
          <w:highlight w:val="none"/>
        </w:rPr>
        <w:t>上级部门、</w:t>
      </w:r>
      <w:r>
        <w:rPr>
          <w:rFonts w:hint="eastAsia" w:ascii="宋体" w:hAnsi="宋体" w:eastAsia="宋体" w:cs="宋体"/>
          <w:color w:val="000000"/>
          <w:sz w:val="21"/>
          <w:szCs w:val="21"/>
          <w:highlight w:val="none"/>
          <w:lang w:val="en-US" w:eastAsia="zh-CN"/>
        </w:rPr>
        <w:t>领导</w:t>
      </w:r>
      <w:r>
        <w:rPr>
          <w:rFonts w:hint="eastAsia" w:ascii="宋体" w:hAnsi="宋体" w:eastAsia="宋体" w:cs="宋体"/>
          <w:color w:val="000000"/>
          <w:sz w:val="21"/>
          <w:szCs w:val="21"/>
          <w:highlight w:val="none"/>
        </w:rPr>
        <w:t>检查发现属于</w:t>
      </w:r>
      <w:r>
        <w:rPr>
          <w:rFonts w:hint="eastAsia" w:ascii="宋体" w:hAnsi="宋体" w:eastAsia="宋体" w:cs="宋体"/>
          <w:color w:val="000000"/>
          <w:sz w:val="21"/>
          <w:szCs w:val="21"/>
          <w:highlight w:val="none"/>
          <w:lang w:val="en-US" w:eastAsia="zh-CN"/>
        </w:rPr>
        <w:t>投标人</w:t>
      </w:r>
      <w:r>
        <w:rPr>
          <w:rFonts w:hint="eastAsia" w:ascii="宋体" w:hAnsi="宋体" w:eastAsia="宋体" w:cs="宋体"/>
          <w:color w:val="000000"/>
          <w:sz w:val="21"/>
          <w:szCs w:val="21"/>
          <w:highlight w:val="none"/>
        </w:rPr>
        <w:t>责任的卫生、安全、服务问题，</w:t>
      </w:r>
      <w:r>
        <w:rPr>
          <w:rFonts w:hint="eastAsia" w:ascii="宋体" w:hAnsi="宋体" w:eastAsia="宋体" w:cs="宋体"/>
          <w:color w:val="000000"/>
          <w:sz w:val="21"/>
          <w:szCs w:val="21"/>
          <w:highlight w:val="none"/>
          <w:lang w:val="en-US" w:eastAsia="zh-CN"/>
        </w:rPr>
        <w:t>采购人</w:t>
      </w:r>
      <w:r>
        <w:rPr>
          <w:rFonts w:hint="eastAsia" w:ascii="宋体" w:hAnsi="宋体" w:eastAsia="宋体" w:cs="宋体"/>
          <w:color w:val="000000"/>
          <w:sz w:val="21"/>
          <w:szCs w:val="21"/>
          <w:highlight w:val="none"/>
        </w:rPr>
        <w:t>有权</w:t>
      </w:r>
      <w:r>
        <w:rPr>
          <w:rFonts w:hint="eastAsia" w:ascii="宋体" w:hAnsi="宋体" w:eastAsia="宋体" w:cs="宋体"/>
          <w:color w:val="000000"/>
          <w:sz w:val="21"/>
          <w:szCs w:val="21"/>
          <w:highlight w:val="none"/>
          <w:lang w:val="en-US" w:eastAsia="zh-CN"/>
        </w:rPr>
        <w:t>另行</w:t>
      </w:r>
      <w:r>
        <w:rPr>
          <w:rFonts w:hint="eastAsia" w:ascii="宋体" w:hAnsi="宋体" w:eastAsia="宋体" w:cs="宋体"/>
          <w:color w:val="000000"/>
          <w:sz w:val="21"/>
          <w:szCs w:val="21"/>
          <w:highlight w:val="none"/>
        </w:rPr>
        <w:t>单次处以</w:t>
      </w:r>
      <w:r>
        <w:rPr>
          <w:rFonts w:hint="eastAsia" w:ascii="宋体" w:hAnsi="宋体" w:eastAsia="宋体" w:cs="宋体"/>
          <w:color w:val="000000"/>
          <w:kern w:val="0"/>
          <w:sz w:val="21"/>
          <w:szCs w:val="21"/>
          <w:highlight w:val="none"/>
          <w:lang w:val="en-US" w:eastAsia="zh-CN" w:bidi="ar-SA"/>
        </w:rPr>
        <w:t>【人民币1,000.00元】的</w:t>
      </w:r>
      <w:r>
        <w:rPr>
          <w:rFonts w:hint="eastAsia" w:ascii="宋体" w:hAnsi="宋体" w:eastAsia="宋体" w:cs="宋体"/>
          <w:color w:val="000000"/>
          <w:sz w:val="21"/>
          <w:szCs w:val="21"/>
          <w:highlight w:val="none"/>
        </w:rPr>
        <w:t>违约金，同时</w:t>
      </w:r>
      <w:r>
        <w:rPr>
          <w:rFonts w:hint="eastAsia" w:ascii="宋体" w:hAnsi="宋体" w:eastAsia="宋体" w:cs="宋体"/>
          <w:color w:val="000000"/>
          <w:sz w:val="21"/>
          <w:szCs w:val="21"/>
          <w:highlight w:val="none"/>
          <w:lang w:val="en-US" w:eastAsia="zh-CN"/>
        </w:rPr>
        <w:t>投标人</w:t>
      </w:r>
      <w:r>
        <w:rPr>
          <w:rFonts w:hint="eastAsia" w:ascii="宋体" w:hAnsi="宋体" w:eastAsia="宋体" w:cs="宋体"/>
          <w:color w:val="000000"/>
          <w:sz w:val="21"/>
          <w:szCs w:val="21"/>
          <w:highlight w:val="none"/>
        </w:rPr>
        <w:t>须承担全部整改责任、行政处罚及损失。</w:t>
      </w:r>
    </w:p>
    <w:p w14:paraId="4C14BD1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12.投标人出现下列重大违约情形之一的，采购人有权立即单方解除本合同，投标人须向采购人支付年度合同总价款【10.00%】的违约金，若违约金不足以弥补采购人损失（含整改费、第三方服务费、行政处罚损失等）的，投标人另行全额补足：</w:t>
      </w:r>
    </w:p>
    <w:p w14:paraId="2B16FCC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（1）经卫生监督部门鉴定，因投标人食材加工、储存、操作、管理不当，造成3人及以上就餐人员食物中毒等群体性食品安全事件，或被市场监管部门立案处罚、通报批评的；</w:t>
      </w:r>
    </w:p>
    <w:p w14:paraId="1531A4E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（2）经消防安全部门鉴定，因投标人违规操作、管理失职引发火灾、漏电、燃气泄漏等安全事故，造成财产损失、人员伤害或不良社会影响的；</w:t>
      </w:r>
    </w:p>
    <w:p w14:paraId="5B88C6E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（3）售卖、使用变质、过期、不洁、有毒有害食材，违规使用食品添加剂，严重违反食品安全规定的；</w:t>
      </w:r>
    </w:p>
    <w:p w14:paraId="64CE3C0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（4）服务态度恶劣、与就餐人员发生争执、引发就餐人员投诉的；</w:t>
      </w:r>
    </w:p>
    <w:p w14:paraId="797ECDB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（5）投标人服务月度考核分数低于80分；</w:t>
      </w:r>
    </w:p>
    <w:p w14:paraId="2A6EA79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（6）投标人擅自将本合同服务项目转包、分包、转借他人经营的；</w:t>
      </w:r>
    </w:p>
    <w:p w14:paraId="3D77D94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（7）投标人拒不执行采购人合理整改要求、拒不配合督查考核、长期服务不达标，严重影响采购人正常就餐秩序及办公秩序的；</w:t>
      </w:r>
    </w:p>
    <w:p w14:paraId="59AA2E3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（8）投标人存在商业贿赂、向采购人工作人员提供不正当利益等违规违纪行为的；</w:t>
      </w:r>
    </w:p>
    <w:p w14:paraId="4ABF85F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（9）未按采购人要求整改，逾期未整改、整改不到位的；</w:t>
      </w:r>
    </w:p>
    <w:p w14:paraId="2920AAA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color w:val="000000"/>
          <w:highlight w:val="none"/>
          <w:lang w:val="en-US" w:eastAsia="zh-CN"/>
        </w:rPr>
      </w:pPr>
      <w:r>
        <w:rPr>
          <w:rFonts w:hint="eastAsia" w:ascii="宋体" w:hAnsi="宋体" w:eastAsia="宋体" w:cs="宋体"/>
          <w:color w:val="000000"/>
          <w:kern w:val="0"/>
          <w:sz w:val="21"/>
          <w:szCs w:val="21"/>
          <w:highlight w:val="none"/>
          <w:lang w:val="en-US" w:eastAsia="zh-CN" w:bidi="ar-SA"/>
        </w:rPr>
        <w:t>（10）投标人严重违反合同约定、法律法规，造成采购人重大声誉损失、经济损失的其他情形。</w:t>
      </w:r>
    </w:p>
    <w:p w14:paraId="7587C71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13.服务期间，投标人如需对采购人配置的设备、设施、餐饮用具进行更新添置，必须向采购人提出书面申请，经采购人审核同意，由采购人负责购置。需要维修可报食堂管理办公室。</w:t>
      </w:r>
    </w:p>
    <w:p w14:paraId="1389A41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宋体"/>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14.做好工作范围内的清洁卫生工作，做到窗明几净，就餐用具严格清洗消毒，剩饭剩菜及时处理，餐饮垃圾及时装袋密封送至垃圾房，做到工完场清、日产日清。妥善处理生产过程中产生的垃圾、废料（如包装物、废菜叶等）</w:t>
      </w:r>
      <w:r>
        <w:rPr>
          <w:rFonts w:hint="eastAsia" w:ascii="宋体" w:hAnsi="宋体" w:eastAsia="宋体" w:cs="宋体"/>
          <w:kern w:val="0"/>
          <w:sz w:val="21"/>
          <w:szCs w:val="21"/>
          <w:highlight w:val="none"/>
          <w:lang w:val="en-US" w:eastAsia="zh-CN"/>
        </w:rPr>
        <w:t>，保证不出现浪费、污染等情况</w:t>
      </w:r>
      <w:r>
        <w:rPr>
          <w:rFonts w:hint="eastAsia" w:ascii="宋体" w:hAnsi="宋体" w:cs="宋体"/>
          <w:kern w:val="0"/>
          <w:sz w:val="21"/>
          <w:szCs w:val="21"/>
          <w:highlight w:val="none"/>
          <w:lang w:val="en-US" w:eastAsia="zh-CN"/>
        </w:rPr>
        <w:t>。</w:t>
      </w:r>
    </w:p>
    <w:p w14:paraId="6A65BF4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15.标准化工作要求</w:t>
      </w:r>
    </w:p>
    <w:p w14:paraId="28F0462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服务期间，投标人须按采购人推进标准化工作的部署和要求，严格执行各环节标准作业流程，明确每道工序的操作规范、质量要求和完成时限，建立常用菜品标准，建立常态化标准化培训机制，持续推动服务和管理标准的落地实施，吸纳先进管理经验，定期梳理标准执行中的问题并优化完善，注重总结提炼可复制、可推广的做法，持续提升服务和管理标准化水平，为全市机关事业单位提供借鉴，发挥行业指导作用。</w:t>
      </w:r>
    </w:p>
    <w:p w14:paraId="64D5C9A8">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1"/>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（三）岗位配置及人员要求</w:t>
      </w:r>
    </w:p>
    <w:p w14:paraId="4AB0FB0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1.岗位配置及人员要求</w:t>
      </w:r>
    </w:p>
    <w:p w14:paraId="730400A3">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kern w:val="0"/>
          <w:sz w:val="21"/>
          <w:szCs w:val="21"/>
          <w:highlight w:val="none"/>
          <w:lang w:val="en-US" w:eastAsia="zh-CN"/>
        </w:rPr>
        <w:t>★根据项目岗</w:t>
      </w:r>
      <w:r>
        <w:rPr>
          <w:rFonts w:hint="eastAsia" w:ascii="宋体" w:hAnsi="宋体" w:eastAsia="宋体" w:cs="宋体"/>
          <w:b/>
          <w:bCs/>
          <w:color w:val="auto"/>
          <w:kern w:val="0"/>
          <w:sz w:val="21"/>
          <w:szCs w:val="21"/>
          <w:highlight w:val="none"/>
          <w:lang w:val="en-US" w:eastAsia="zh-CN"/>
        </w:rPr>
        <w:t>位安排，拟配置的项目人员总数不得低于38人，其中项目负责人（兼食品安全总监）1人、厨师长1人、厨师至少5人、点心师至少3人、点心辅助工至少3人、面档工至少2人、拣洗切配员至少8人、服务员至少8人、洗碗保洁员至少6人、</w:t>
      </w:r>
      <w:r>
        <w:rPr>
          <w:rFonts w:hint="eastAsia" w:ascii="宋体" w:hAnsi="宋体" w:cs="宋体"/>
          <w:b/>
          <w:bCs/>
          <w:color w:val="auto"/>
          <w:kern w:val="0"/>
          <w:sz w:val="21"/>
          <w:szCs w:val="21"/>
          <w:highlight w:val="none"/>
          <w:lang w:val="en-US" w:eastAsia="zh-CN"/>
        </w:rPr>
        <w:t>食堂</w:t>
      </w:r>
      <w:r>
        <w:rPr>
          <w:rFonts w:hint="eastAsia" w:ascii="宋体" w:hAnsi="宋体" w:eastAsia="宋体" w:cs="宋体"/>
          <w:b/>
          <w:bCs/>
          <w:color w:val="auto"/>
          <w:kern w:val="0"/>
          <w:sz w:val="21"/>
          <w:szCs w:val="21"/>
          <w:highlight w:val="none"/>
          <w:lang w:val="en-US" w:eastAsia="zh-CN"/>
        </w:rPr>
        <w:t>安全</w:t>
      </w:r>
      <w:r>
        <w:rPr>
          <w:rFonts w:hint="eastAsia" w:ascii="宋体" w:hAnsi="宋体" w:cs="宋体"/>
          <w:b/>
          <w:bCs/>
          <w:color w:val="auto"/>
          <w:kern w:val="0"/>
          <w:sz w:val="21"/>
          <w:szCs w:val="21"/>
          <w:highlight w:val="none"/>
          <w:lang w:val="en-US" w:eastAsia="zh-CN"/>
        </w:rPr>
        <w:t>管理</w:t>
      </w:r>
      <w:r>
        <w:rPr>
          <w:rFonts w:hint="eastAsia" w:ascii="宋体" w:hAnsi="宋体" w:eastAsia="宋体" w:cs="宋体"/>
          <w:b/>
          <w:bCs/>
          <w:color w:val="auto"/>
          <w:kern w:val="0"/>
          <w:sz w:val="21"/>
          <w:szCs w:val="21"/>
          <w:highlight w:val="none"/>
          <w:lang w:val="en-US" w:eastAsia="zh-CN"/>
        </w:rPr>
        <w:t>员1人。本项为实质性要求，投标人投标文件中提供承诺函（格式自拟）并加盖投标人公章，未响应的作无效投标处理。</w:t>
      </w:r>
    </w:p>
    <w:tbl>
      <w:tblPr>
        <w:tblStyle w:val="18"/>
        <w:tblW w:w="4921" w:type="pct"/>
        <w:jc w:val="center"/>
        <w:tblLayout w:type="autofit"/>
        <w:tblCellMar>
          <w:top w:w="0" w:type="dxa"/>
          <w:left w:w="108" w:type="dxa"/>
          <w:bottom w:w="0" w:type="dxa"/>
          <w:right w:w="108" w:type="dxa"/>
        </w:tblCellMar>
      </w:tblPr>
      <w:tblGrid>
        <w:gridCol w:w="638"/>
        <w:gridCol w:w="2106"/>
        <w:gridCol w:w="849"/>
        <w:gridCol w:w="5503"/>
      </w:tblGrid>
      <w:tr w14:paraId="51348AE8">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00BE06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836" w:type="pct"/>
            <w:tcBorders>
              <w:top w:val="single" w:color="auto" w:sz="4" w:space="0"/>
              <w:left w:val="nil"/>
              <w:bottom w:val="single" w:color="auto" w:sz="4" w:space="0"/>
              <w:right w:val="single" w:color="auto" w:sz="4" w:space="0"/>
            </w:tcBorders>
            <w:noWrap/>
            <w:vAlign w:val="center"/>
          </w:tcPr>
          <w:p w14:paraId="01A19B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w:t>
            </w:r>
            <w:r>
              <w:rPr>
                <w:rFonts w:hint="eastAsia" w:ascii="宋体" w:hAnsi="宋体" w:eastAsia="宋体" w:cs="宋体"/>
                <w:b/>
                <w:bCs/>
                <w:color w:val="auto"/>
                <w:kern w:val="0"/>
                <w:sz w:val="21"/>
                <w:szCs w:val="21"/>
                <w:highlight w:val="none"/>
              </w:rPr>
              <w:t>岗位</w:t>
            </w:r>
          </w:p>
        </w:tc>
        <w:tc>
          <w:tcPr>
            <w:tcW w:w="407" w:type="pct"/>
            <w:tcBorders>
              <w:top w:val="single" w:color="auto" w:sz="4" w:space="0"/>
              <w:left w:val="nil"/>
              <w:bottom w:val="single" w:color="auto" w:sz="4" w:space="0"/>
              <w:right w:val="single" w:color="auto" w:sz="4" w:space="0"/>
            </w:tcBorders>
            <w:noWrap/>
            <w:vAlign w:val="center"/>
          </w:tcPr>
          <w:p w14:paraId="5ECC9A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w:t>
            </w:r>
            <w:r>
              <w:rPr>
                <w:rFonts w:hint="eastAsia" w:ascii="宋体" w:hAnsi="宋体" w:eastAsia="宋体" w:cs="宋体"/>
                <w:b/>
                <w:bCs/>
                <w:color w:val="auto"/>
                <w:kern w:val="0"/>
                <w:sz w:val="21"/>
                <w:szCs w:val="21"/>
                <w:highlight w:val="none"/>
              </w:rPr>
              <w:t>人数</w:t>
            </w:r>
          </w:p>
        </w:tc>
        <w:tc>
          <w:tcPr>
            <w:tcW w:w="3405" w:type="pct"/>
            <w:tcBorders>
              <w:top w:val="single" w:color="auto" w:sz="4" w:space="0"/>
              <w:left w:val="nil"/>
              <w:bottom w:val="single" w:color="auto" w:sz="4" w:space="0"/>
              <w:right w:val="single" w:color="auto" w:sz="4" w:space="0"/>
            </w:tcBorders>
            <w:noWrap w:val="0"/>
            <w:vAlign w:val="center"/>
          </w:tcPr>
          <w:p w14:paraId="718EF8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人员要求</w:t>
            </w:r>
          </w:p>
        </w:tc>
      </w:tr>
      <w:tr w14:paraId="7DED4A5E">
        <w:tblPrEx>
          <w:tblCellMar>
            <w:top w:w="0" w:type="dxa"/>
            <w:left w:w="108" w:type="dxa"/>
            <w:bottom w:w="0" w:type="dxa"/>
            <w:right w:w="108" w:type="dxa"/>
          </w:tblCellMar>
        </w:tblPrEx>
        <w:trPr>
          <w:trHeight w:val="567" w:hRule="atLeast"/>
          <w:jc w:val="center"/>
        </w:trPr>
        <w:tc>
          <w:tcPr>
            <w:tcW w:w="350" w:type="pct"/>
            <w:tcBorders>
              <w:top w:val="nil"/>
              <w:left w:val="single" w:color="auto" w:sz="4" w:space="0"/>
              <w:bottom w:val="single" w:color="auto" w:sz="4" w:space="0"/>
              <w:right w:val="single" w:color="auto" w:sz="4" w:space="0"/>
            </w:tcBorders>
            <w:noWrap/>
            <w:vAlign w:val="center"/>
          </w:tcPr>
          <w:p w14:paraId="25CCE5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836" w:type="pct"/>
            <w:tcBorders>
              <w:top w:val="nil"/>
              <w:left w:val="nil"/>
              <w:bottom w:val="single" w:color="auto" w:sz="4" w:space="0"/>
              <w:right w:val="single" w:color="auto" w:sz="4" w:space="0"/>
            </w:tcBorders>
            <w:noWrap/>
            <w:vAlign w:val="center"/>
          </w:tcPr>
          <w:p w14:paraId="42A506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p w14:paraId="598CCC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（兼食品安全总监）</w:t>
            </w:r>
          </w:p>
        </w:tc>
        <w:tc>
          <w:tcPr>
            <w:tcW w:w="407" w:type="pct"/>
            <w:tcBorders>
              <w:top w:val="nil"/>
              <w:left w:val="nil"/>
              <w:bottom w:val="single" w:color="auto" w:sz="4" w:space="0"/>
              <w:right w:val="single" w:color="auto" w:sz="4" w:space="0"/>
            </w:tcBorders>
            <w:noWrap/>
            <w:vAlign w:val="center"/>
          </w:tcPr>
          <w:p w14:paraId="01892F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405" w:type="pct"/>
            <w:tcBorders>
              <w:top w:val="nil"/>
              <w:left w:val="nil"/>
              <w:bottom w:val="single" w:color="auto" w:sz="4" w:space="0"/>
              <w:right w:val="single" w:color="auto" w:sz="4" w:space="0"/>
            </w:tcBorders>
            <w:noWrap w:val="0"/>
            <w:vAlign w:val="center"/>
          </w:tcPr>
          <w:p w14:paraId="199FE3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职业经理人</w:t>
            </w:r>
            <w:r>
              <w:rPr>
                <w:rFonts w:hint="eastAsia" w:ascii="宋体" w:hAnsi="宋体" w:cs="宋体"/>
                <w:color w:val="auto"/>
                <w:kern w:val="0"/>
                <w:sz w:val="21"/>
                <w:szCs w:val="21"/>
                <w:highlight w:val="none"/>
                <w:lang w:val="en-US" w:eastAsia="zh-CN"/>
              </w:rPr>
              <w:t>；男女不限，55周岁及以下；</w:t>
            </w:r>
            <w:r>
              <w:rPr>
                <w:rFonts w:hint="eastAsia" w:ascii="宋体" w:hAnsi="宋体" w:eastAsia="宋体" w:cs="宋体"/>
                <w:color w:val="auto"/>
                <w:kern w:val="0"/>
                <w:sz w:val="21"/>
                <w:szCs w:val="21"/>
                <w:highlight w:val="none"/>
                <w:lang w:val="en-US" w:eastAsia="zh-CN"/>
              </w:rPr>
              <w:t>有10年以上相应岗位工作经验</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有相关资格</w:t>
            </w:r>
            <w:r>
              <w:rPr>
                <w:rFonts w:hint="eastAsia" w:ascii="宋体" w:hAnsi="宋体" w:cs="宋体"/>
                <w:color w:val="auto"/>
                <w:kern w:val="0"/>
                <w:sz w:val="21"/>
                <w:szCs w:val="21"/>
                <w:highlight w:val="none"/>
                <w:lang w:val="en-US" w:eastAsia="zh-CN"/>
              </w:rPr>
              <w:t>等</w:t>
            </w:r>
            <w:r>
              <w:rPr>
                <w:rFonts w:hint="eastAsia" w:ascii="宋体" w:hAnsi="宋体" w:eastAsia="宋体" w:cs="宋体"/>
                <w:color w:val="auto"/>
                <w:kern w:val="0"/>
                <w:sz w:val="21"/>
                <w:szCs w:val="21"/>
                <w:highlight w:val="none"/>
                <w:lang w:val="en-US" w:eastAsia="zh-CN"/>
              </w:rPr>
              <w:t>证书</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技术过硬。</w:t>
            </w:r>
          </w:p>
        </w:tc>
      </w:tr>
      <w:tr w14:paraId="5F10CEA5">
        <w:tblPrEx>
          <w:tblCellMar>
            <w:top w:w="0" w:type="dxa"/>
            <w:left w:w="108" w:type="dxa"/>
            <w:bottom w:w="0" w:type="dxa"/>
            <w:right w:w="108" w:type="dxa"/>
          </w:tblCellMar>
        </w:tblPrEx>
        <w:trPr>
          <w:trHeight w:val="564"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760229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2</w:t>
            </w:r>
          </w:p>
        </w:tc>
        <w:tc>
          <w:tcPr>
            <w:tcW w:w="836" w:type="pct"/>
            <w:tcBorders>
              <w:top w:val="single" w:color="auto" w:sz="4" w:space="0"/>
              <w:left w:val="nil"/>
              <w:bottom w:val="single" w:color="auto" w:sz="4" w:space="0"/>
              <w:right w:val="single" w:color="auto" w:sz="4" w:space="0"/>
            </w:tcBorders>
            <w:noWrap/>
            <w:vAlign w:val="center"/>
          </w:tcPr>
          <w:p w14:paraId="23A23F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厨师长</w:t>
            </w:r>
          </w:p>
        </w:tc>
        <w:tc>
          <w:tcPr>
            <w:tcW w:w="407" w:type="pct"/>
            <w:tcBorders>
              <w:top w:val="single" w:color="auto" w:sz="4" w:space="0"/>
              <w:left w:val="nil"/>
              <w:bottom w:val="single" w:color="auto" w:sz="4" w:space="0"/>
              <w:right w:val="single" w:color="auto" w:sz="4" w:space="0"/>
            </w:tcBorders>
            <w:noWrap/>
            <w:vAlign w:val="center"/>
          </w:tcPr>
          <w:p w14:paraId="037C51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3405" w:type="pct"/>
            <w:tcBorders>
              <w:top w:val="single" w:color="auto" w:sz="4" w:space="0"/>
              <w:left w:val="nil"/>
              <w:bottom w:val="single" w:color="auto" w:sz="4" w:space="0"/>
              <w:right w:val="single" w:color="auto" w:sz="4" w:space="0"/>
            </w:tcBorders>
            <w:noWrap w:val="0"/>
            <w:vAlign w:val="center"/>
          </w:tcPr>
          <w:p w14:paraId="67412E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高级厨师</w:t>
            </w:r>
            <w:r>
              <w:rPr>
                <w:rFonts w:hint="eastAsia" w:ascii="宋体" w:hAnsi="宋体" w:cs="宋体"/>
                <w:color w:val="auto"/>
                <w:kern w:val="0"/>
                <w:sz w:val="21"/>
                <w:szCs w:val="21"/>
                <w:highlight w:val="none"/>
                <w:lang w:val="en-US" w:eastAsia="zh-CN"/>
              </w:rPr>
              <w:t>；男，55周岁及以下；</w:t>
            </w:r>
            <w:r>
              <w:rPr>
                <w:rFonts w:hint="eastAsia" w:ascii="宋体" w:hAnsi="宋体" w:eastAsia="宋体" w:cs="宋体"/>
                <w:color w:val="auto"/>
                <w:kern w:val="0"/>
                <w:sz w:val="21"/>
                <w:szCs w:val="21"/>
                <w:highlight w:val="none"/>
                <w:lang w:val="en-US" w:eastAsia="zh-CN"/>
              </w:rPr>
              <w:t>有5年以上相应岗位工作经验</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有相关资格</w:t>
            </w:r>
            <w:r>
              <w:rPr>
                <w:rFonts w:hint="eastAsia" w:ascii="宋体" w:hAnsi="宋体" w:cs="宋体"/>
                <w:color w:val="auto"/>
                <w:kern w:val="0"/>
                <w:sz w:val="21"/>
                <w:szCs w:val="21"/>
                <w:highlight w:val="none"/>
                <w:lang w:val="en-US" w:eastAsia="zh-CN"/>
              </w:rPr>
              <w:t>等</w:t>
            </w:r>
            <w:r>
              <w:rPr>
                <w:rFonts w:hint="eastAsia" w:ascii="宋体" w:hAnsi="宋体" w:eastAsia="宋体" w:cs="宋体"/>
                <w:color w:val="auto"/>
                <w:kern w:val="0"/>
                <w:sz w:val="21"/>
                <w:szCs w:val="21"/>
                <w:highlight w:val="none"/>
                <w:lang w:val="en-US" w:eastAsia="zh-CN"/>
              </w:rPr>
              <w:t>证书</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技术过硬。</w:t>
            </w:r>
          </w:p>
        </w:tc>
      </w:tr>
      <w:tr w14:paraId="2DAE789D">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2B52DF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3</w:t>
            </w:r>
          </w:p>
        </w:tc>
        <w:tc>
          <w:tcPr>
            <w:tcW w:w="836" w:type="pct"/>
            <w:tcBorders>
              <w:top w:val="single" w:color="auto" w:sz="4" w:space="0"/>
              <w:left w:val="nil"/>
              <w:bottom w:val="single" w:color="auto" w:sz="4" w:space="0"/>
              <w:right w:val="single" w:color="auto" w:sz="4" w:space="0"/>
            </w:tcBorders>
            <w:noWrap/>
            <w:vAlign w:val="center"/>
          </w:tcPr>
          <w:p w14:paraId="09A091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厨师</w:t>
            </w:r>
          </w:p>
        </w:tc>
        <w:tc>
          <w:tcPr>
            <w:tcW w:w="407" w:type="pct"/>
            <w:tcBorders>
              <w:top w:val="single" w:color="auto" w:sz="4" w:space="0"/>
              <w:left w:val="nil"/>
              <w:bottom w:val="single" w:color="auto" w:sz="4" w:space="0"/>
              <w:right w:val="single" w:color="auto" w:sz="4" w:space="0"/>
            </w:tcBorders>
            <w:noWrap/>
            <w:vAlign w:val="center"/>
          </w:tcPr>
          <w:p w14:paraId="0C868B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3405" w:type="pct"/>
            <w:tcBorders>
              <w:top w:val="single" w:color="auto" w:sz="4" w:space="0"/>
              <w:left w:val="nil"/>
              <w:bottom w:val="single" w:color="auto" w:sz="4" w:space="0"/>
              <w:right w:val="single" w:color="auto" w:sz="4" w:space="0"/>
            </w:tcBorders>
            <w:noWrap w:val="0"/>
            <w:vAlign w:val="center"/>
          </w:tcPr>
          <w:p w14:paraId="338692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等级厨师</w:t>
            </w:r>
            <w:r>
              <w:rPr>
                <w:rFonts w:hint="eastAsia" w:ascii="宋体" w:hAnsi="宋体" w:cs="宋体"/>
                <w:color w:val="auto"/>
                <w:kern w:val="0"/>
                <w:sz w:val="21"/>
                <w:szCs w:val="21"/>
                <w:highlight w:val="none"/>
                <w:lang w:val="en-US" w:eastAsia="zh-CN"/>
              </w:rPr>
              <w:t>；男，55周岁及以下；</w:t>
            </w:r>
            <w:r>
              <w:rPr>
                <w:rFonts w:hint="eastAsia" w:ascii="宋体" w:hAnsi="宋体" w:eastAsia="宋体" w:cs="宋体"/>
                <w:color w:val="auto"/>
                <w:kern w:val="0"/>
                <w:sz w:val="21"/>
                <w:szCs w:val="21"/>
                <w:highlight w:val="none"/>
                <w:lang w:val="en-US" w:eastAsia="zh-CN"/>
              </w:rPr>
              <w:t>有3年以上相应岗位工作经验</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有相关资格</w:t>
            </w:r>
            <w:r>
              <w:rPr>
                <w:rFonts w:hint="eastAsia" w:ascii="宋体" w:hAnsi="宋体" w:cs="宋体"/>
                <w:color w:val="auto"/>
                <w:kern w:val="0"/>
                <w:sz w:val="21"/>
                <w:szCs w:val="21"/>
                <w:highlight w:val="none"/>
                <w:lang w:val="en-US" w:eastAsia="zh-CN"/>
              </w:rPr>
              <w:t>等</w:t>
            </w:r>
            <w:r>
              <w:rPr>
                <w:rFonts w:hint="eastAsia" w:ascii="宋体" w:hAnsi="宋体" w:eastAsia="宋体" w:cs="宋体"/>
                <w:color w:val="auto"/>
                <w:kern w:val="0"/>
                <w:sz w:val="21"/>
                <w:szCs w:val="21"/>
                <w:highlight w:val="none"/>
                <w:lang w:val="en-US" w:eastAsia="zh-CN"/>
              </w:rPr>
              <w:t>证书</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技术过硬。</w:t>
            </w:r>
          </w:p>
        </w:tc>
      </w:tr>
      <w:tr w14:paraId="208EF893">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28B57D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p>
        </w:tc>
        <w:tc>
          <w:tcPr>
            <w:tcW w:w="836" w:type="pct"/>
            <w:tcBorders>
              <w:top w:val="single" w:color="auto" w:sz="4" w:space="0"/>
              <w:left w:val="nil"/>
              <w:bottom w:val="single" w:color="auto" w:sz="4" w:space="0"/>
              <w:right w:val="single" w:color="auto" w:sz="4" w:space="0"/>
            </w:tcBorders>
            <w:noWrap/>
            <w:vAlign w:val="center"/>
          </w:tcPr>
          <w:p w14:paraId="5496ED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点心师</w:t>
            </w:r>
          </w:p>
        </w:tc>
        <w:tc>
          <w:tcPr>
            <w:tcW w:w="407" w:type="pct"/>
            <w:tcBorders>
              <w:top w:val="single" w:color="auto" w:sz="4" w:space="0"/>
              <w:left w:val="nil"/>
              <w:bottom w:val="single" w:color="auto" w:sz="4" w:space="0"/>
              <w:right w:val="single" w:color="auto" w:sz="4" w:space="0"/>
            </w:tcBorders>
            <w:noWrap/>
            <w:vAlign w:val="center"/>
          </w:tcPr>
          <w:p w14:paraId="7E54C4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3405" w:type="pct"/>
            <w:tcBorders>
              <w:top w:val="single" w:color="auto" w:sz="4" w:space="0"/>
              <w:left w:val="nil"/>
              <w:bottom w:val="single" w:color="auto" w:sz="4" w:space="0"/>
              <w:right w:val="single" w:color="auto" w:sz="4" w:space="0"/>
            </w:tcBorders>
            <w:noWrap w:val="0"/>
            <w:vAlign w:val="center"/>
          </w:tcPr>
          <w:p w14:paraId="2C9F9E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等级点心师</w:t>
            </w:r>
            <w:r>
              <w:rPr>
                <w:rFonts w:hint="eastAsia" w:ascii="宋体" w:hAnsi="宋体" w:cs="宋体"/>
                <w:color w:val="auto"/>
                <w:kern w:val="0"/>
                <w:sz w:val="21"/>
                <w:szCs w:val="21"/>
                <w:highlight w:val="none"/>
                <w:lang w:val="en-US" w:eastAsia="zh-CN"/>
              </w:rPr>
              <w:t>；男60周岁及以下，女50周岁及以下；</w:t>
            </w:r>
            <w:r>
              <w:rPr>
                <w:rFonts w:hint="eastAsia" w:ascii="宋体" w:hAnsi="宋体" w:eastAsia="宋体" w:cs="宋体"/>
                <w:color w:val="auto"/>
                <w:kern w:val="0"/>
                <w:sz w:val="21"/>
                <w:szCs w:val="21"/>
                <w:highlight w:val="none"/>
                <w:lang w:val="en-US" w:eastAsia="zh-CN"/>
              </w:rPr>
              <w:t>有3年以上相应岗位工作经验，有相关资格</w:t>
            </w:r>
            <w:r>
              <w:rPr>
                <w:rFonts w:hint="eastAsia" w:ascii="宋体" w:hAnsi="宋体" w:cs="宋体"/>
                <w:color w:val="auto"/>
                <w:kern w:val="0"/>
                <w:sz w:val="21"/>
                <w:szCs w:val="21"/>
                <w:highlight w:val="none"/>
                <w:lang w:val="en-US" w:eastAsia="zh-CN"/>
              </w:rPr>
              <w:t>等</w:t>
            </w:r>
            <w:r>
              <w:rPr>
                <w:rFonts w:hint="eastAsia" w:ascii="宋体" w:hAnsi="宋体" w:eastAsia="宋体" w:cs="宋体"/>
                <w:color w:val="auto"/>
                <w:kern w:val="0"/>
                <w:sz w:val="21"/>
                <w:szCs w:val="21"/>
                <w:highlight w:val="none"/>
                <w:lang w:val="en-US" w:eastAsia="zh-CN"/>
              </w:rPr>
              <w:t>证书，技术过硬。</w:t>
            </w:r>
          </w:p>
        </w:tc>
      </w:tr>
      <w:tr w14:paraId="6FF56485">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20169E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836" w:type="pct"/>
            <w:tcBorders>
              <w:top w:val="single" w:color="auto" w:sz="4" w:space="0"/>
              <w:left w:val="nil"/>
              <w:bottom w:val="single" w:color="auto" w:sz="4" w:space="0"/>
              <w:right w:val="single" w:color="auto" w:sz="4" w:space="0"/>
            </w:tcBorders>
            <w:noWrap/>
            <w:vAlign w:val="center"/>
          </w:tcPr>
          <w:p w14:paraId="045829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点心辅助工</w:t>
            </w:r>
          </w:p>
        </w:tc>
        <w:tc>
          <w:tcPr>
            <w:tcW w:w="407" w:type="pct"/>
            <w:tcBorders>
              <w:top w:val="single" w:color="auto" w:sz="4" w:space="0"/>
              <w:left w:val="nil"/>
              <w:bottom w:val="single" w:color="auto" w:sz="4" w:space="0"/>
              <w:right w:val="single" w:color="auto" w:sz="4" w:space="0"/>
            </w:tcBorders>
            <w:noWrap/>
            <w:vAlign w:val="center"/>
          </w:tcPr>
          <w:p w14:paraId="010BFC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3405" w:type="pct"/>
            <w:tcBorders>
              <w:top w:val="single" w:color="auto" w:sz="4" w:space="0"/>
              <w:left w:val="nil"/>
              <w:bottom w:val="single" w:color="auto" w:sz="4" w:space="0"/>
              <w:right w:val="single" w:color="auto" w:sz="4" w:space="0"/>
            </w:tcBorders>
            <w:noWrap w:val="0"/>
            <w:vAlign w:val="center"/>
          </w:tcPr>
          <w:p w14:paraId="79DC3C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男60周岁及以下，女55周岁及以下，</w:t>
            </w:r>
            <w:r>
              <w:rPr>
                <w:rFonts w:hint="eastAsia" w:ascii="宋体" w:hAnsi="宋体" w:eastAsia="宋体" w:cs="宋体"/>
                <w:bCs/>
                <w:color w:val="auto"/>
                <w:sz w:val="21"/>
                <w:szCs w:val="21"/>
                <w:highlight w:val="none"/>
              </w:rPr>
              <w:t>具有食堂从业经历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吃苦耐劳、爱岗敬业、服务意识强。</w:t>
            </w:r>
          </w:p>
        </w:tc>
      </w:tr>
      <w:tr w14:paraId="536116F2">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6936FD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p>
        </w:tc>
        <w:tc>
          <w:tcPr>
            <w:tcW w:w="836" w:type="pct"/>
            <w:tcBorders>
              <w:top w:val="single" w:color="auto" w:sz="4" w:space="0"/>
              <w:left w:val="nil"/>
              <w:bottom w:val="single" w:color="auto" w:sz="4" w:space="0"/>
              <w:right w:val="single" w:color="auto" w:sz="4" w:space="0"/>
            </w:tcBorders>
            <w:noWrap/>
            <w:vAlign w:val="center"/>
          </w:tcPr>
          <w:p w14:paraId="159164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面档工</w:t>
            </w:r>
          </w:p>
        </w:tc>
        <w:tc>
          <w:tcPr>
            <w:tcW w:w="407" w:type="pct"/>
            <w:tcBorders>
              <w:top w:val="single" w:color="auto" w:sz="4" w:space="0"/>
              <w:left w:val="nil"/>
              <w:bottom w:val="single" w:color="auto" w:sz="4" w:space="0"/>
              <w:right w:val="single" w:color="auto" w:sz="4" w:space="0"/>
            </w:tcBorders>
            <w:noWrap/>
            <w:vAlign w:val="center"/>
          </w:tcPr>
          <w:p w14:paraId="30F929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3405" w:type="pct"/>
            <w:tcBorders>
              <w:top w:val="single" w:color="auto" w:sz="4" w:space="0"/>
              <w:left w:val="nil"/>
              <w:bottom w:val="single" w:color="auto" w:sz="4" w:space="0"/>
              <w:right w:val="single" w:color="auto" w:sz="4" w:space="0"/>
            </w:tcBorders>
            <w:noWrap w:val="0"/>
            <w:vAlign w:val="center"/>
          </w:tcPr>
          <w:p w14:paraId="3C2212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男60周岁及以下，女55周岁及以下，</w:t>
            </w:r>
            <w:r>
              <w:rPr>
                <w:rFonts w:hint="eastAsia" w:ascii="宋体" w:hAnsi="宋体" w:eastAsia="宋体" w:cs="宋体"/>
                <w:bCs/>
                <w:color w:val="auto"/>
                <w:sz w:val="21"/>
                <w:szCs w:val="21"/>
                <w:highlight w:val="none"/>
              </w:rPr>
              <w:t>具有食堂从业经历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吃苦耐劳、爱岗敬业、服务意识强。</w:t>
            </w:r>
          </w:p>
        </w:tc>
      </w:tr>
      <w:tr w14:paraId="738AFF34">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688DCD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p>
        </w:tc>
        <w:tc>
          <w:tcPr>
            <w:tcW w:w="836" w:type="pct"/>
            <w:tcBorders>
              <w:top w:val="single" w:color="auto" w:sz="4" w:space="0"/>
              <w:left w:val="nil"/>
              <w:bottom w:val="single" w:color="auto" w:sz="4" w:space="0"/>
              <w:right w:val="single" w:color="auto" w:sz="4" w:space="0"/>
            </w:tcBorders>
            <w:noWrap/>
            <w:vAlign w:val="center"/>
          </w:tcPr>
          <w:p w14:paraId="34E4F7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拣洗切配员</w:t>
            </w:r>
          </w:p>
        </w:tc>
        <w:tc>
          <w:tcPr>
            <w:tcW w:w="407" w:type="pct"/>
            <w:tcBorders>
              <w:top w:val="single" w:color="auto" w:sz="4" w:space="0"/>
              <w:left w:val="nil"/>
              <w:bottom w:val="single" w:color="auto" w:sz="4" w:space="0"/>
              <w:right w:val="single" w:color="auto" w:sz="4" w:space="0"/>
            </w:tcBorders>
            <w:noWrap/>
            <w:vAlign w:val="center"/>
          </w:tcPr>
          <w:p w14:paraId="2E29E3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3405" w:type="pct"/>
            <w:tcBorders>
              <w:top w:val="single" w:color="auto" w:sz="4" w:space="0"/>
              <w:left w:val="nil"/>
              <w:bottom w:val="single" w:color="auto" w:sz="4" w:space="0"/>
              <w:right w:val="single" w:color="auto" w:sz="4" w:space="0"/>
            </w:tcBorders>
            <w:noWrap w:val="0"/>
            <w:vAlign w:val="center"/>
          </w:tcPr>
          <w:p w14:paraId="299F56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具有食堂从业经历</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吃苦耐劳、爱岗敬业、服务意识强</w:t>
            </w:r>
            <w:r>
              <w:rPr>
                <w:rFonts w:hint="eastAsia" w:ascii="宋体" w:hAnsi="宋体" w:cs="宋体"/>
                <w:color w:val="auto"/>
                <w:kern w:val="0"/>
                <w:sz w:val="21"/>
                <w:szCs w:val="21"/>
                <w:highlight w:val="none"/>
                <w:lang w:val="en-US" w:eastAsia="zh-CN"/>
              </w:rPr>
              <w:t>。</w:t>
            </w:r>
          </w:p>
        </w:tc>
      </w:tr>
      <w:tr w14:paraId="7680002B">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441940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836" w:type="pct"/>
            <w:tcBorders>
              <w:top w:val="single" w:color="auto" w:sz="4" w:space="0"/>
              <w:left w:val="nil"/>
              <w:bottom w:val="single" w:color="auto" w:sz="4" w:space="0"/>
              <w:right w:val="single" w:color="auto" w:sz="4" w:space="0"/>
            </w:tcBorders>
            <w:noWrap/>
            <w:vAlign w:val="center"/>
          </w:tcPr>
          <w:p w14:paraId="01928B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服务员</w:t>
            </w:r>
          </w:p>
        </w:tc>
        <w:tc>
          <w:tcPr>
            <w:tcW w:w="407" w:type="pct"/>
            <w:tcBorders>
              <w:top w:val="single" w:color="auto" w:sz="4" w:space="0"/>
              <w:left w:val="nil"/>
              <w:bottom w:val="single" w:color="auto" w:sz="4" w:space="0"/>
              <w:right w:val="single" w:color="auto" w:sz="4" w:space="0"/>
            </w:tcBorders>
            <w:noWrap/>
            <w:vAlign w:val="center"/>
          </w:tcPr>
          <w:p w14:paraId="78A844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5503" w:type="dxa"/>
            <w:tcBorders>
              <w:top w:val="single" w:color="auto" w:sz="4" w:space="0"/>
              <w:left w:val="nil"/>
              <w:bottom w:val="single" w:color="auto" w:sz="4" w:space="0"/>
              <w:right w:val="single" w:color="auto" w:sz="4" w:space="0"/>
            </w:tcBorders>
            <w:noWrap w:val="0"/>
            <w:vAlign w:val="center"/>
          </w:tcPr>
          <w:p w14:paraId="0A3528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bCs/>
                <w:color w:val="auto"/>
                <w:sz w:val="21"/>
                <w:szCs w:val="21"/>
                <w:highlight w:val="none"/>
              </w:rPr>
              <w:t>具有食堂从业经历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吃苦耐劳、爱岗敬业、服务意识强。</w:t>
            </w:r>
          </w:p>
        </w:tc>
      </w:tr>
      <w:tr w14:paraId="78A8F472">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573641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836" w:type="pct"/>
            <w:tcBorders>
              <w:top w:val="single" w:color="auto" w:sz="4" w:space="0"/>
              <w:left w:val="nil"/>
              <w:bottom w:val="single" w:color="auto" w:sz="4" w:space="0"/>
              <w:right w:val="single" w:color="auto" w:sz="4" w:space="0"/>
            </w:tcBorders>
            <w:noWrap/>
            <w:vAlign w:val="center"/>
          </w:tcPr>
          <w:p w14:paraId="12AED9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洗碗保洁员</w:t>
            </w:r>
          </w:p>
        </w:tc>
        <w:tc>
          <w:tcPr>
            <w:tcW w:w="407" w:type="pct"/>
            <w:tcBorders>
              <w:top w:val="single" w:color="auto" w:sz="4" w:space="0"/>
              <w:left w:val="nil"/>
              <w:bottom w:val="single" w:color="auto" w:sz="4" w:space="0"/>
              <w:right w:val="single" w:color="auto" w:sz="4" w:space="0"/>
            </w:tcBorders>
            <w:noWrap/>
            <w:vAlign w:val="center"/>
          </w:tcPr>
          <w:p w14:paraId="481E91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p>
        </w:tc>
        <w:tc>
          <w:tcPr>
            <w:tcW w:w="3405" w:type="pct"/>
            <w:tcBorders>
              <w:top w:val="single" w:color="auto" w:sz="4" w:space="0"/>
              <w:left w:val="nil"/>
              <w:bottom w:val="single" w:color="auto" w:sz="4" w:space="0"/>
              <w:right w:val="single" w:color="auto" w:sz="4" w:space="0"/>
            </w:tcBorders>
            <w:noWrap w:val="0"/>
            <w:vAlign w:val="center"/>
          </w:tcPr>
          <w:p w14:paraId="202C67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具有食堂从业经历</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吃苦耐劳、爱岗敬业、服务意识强。</w:t>
            </w:r>
          </w:p>
        </w:tc>
      </w:tr>
      <w:tr w14:paraId="0A900A8E">
        <w:tblPrEx>
          <w:tblCellMar>
            <w:top w:w="0" w:type="dxa"/>
            <w:left w:w="108" w:type="dxa"/>
            <w:bottom w:w="0" w:type="dxa"/>
            <w:right w:w="108" w:type="dxa"/>
          </w:tblCellMar>
        </w:tblPrEx>
        <w:trPr>
          <w:trHeight w:val="567" w:hRule="atLeast"/>
          <w:jc w:val="center"/>
        </w:trPr>
        <w:tc>
          <w:tcPr>
            <w:tcW w:w="350" w:type="pct"/>
            <w:tcBorders>
              <w:top w:val="single" w:color="auto" w:sz="4" w:space="0"/>
              <w:left w:val="single" w:color="auto" w:sz="4" w:space="0"/>
              <w:bottom w:val="single" w:color="auto" w:sz="4" w:space="0"/>
              <w:right w:val="single" w:color="auto" w:sz="4" w:space="0"/>
            </w:tcBorders>
            <w:noWrap/>
            <w:vAlign w:val="center"/>
          </w:tcPr>
          <w:p w14:paraId="2EC8BD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p>
        </w:tc>
        <w:tc>
          <w:tcPr>
            <w:tcW w:w="836" w:type="pct"/>
            <w:tcBorders>
              <w:top w:val="single" w:color="auto" w:sz="4" w:space="0"/>
              <w:left w:val="nil"/>
              <w:bottom w:val="single" w:color="auto" w:sz="4" w:space="0"/>
              <w:right w:val="single" w:color="auto" w:sz="4" w:space="0"/>
            </w:tcBorders>
            <w:noWrap/>
            <w:vAlign w:val="center"/>
          </w:tcPr>
          <w:p w14:paraId="2B3916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食堂安全管理员</w:t>
            </w:r>
          </w:p>
        </w:tc>
        <w:tc>
          <w:tcPr>
            <w:tcW w:w="407" w:type="pct"/>
            <w:tcBorders>
              <w:top w:val="single" w:color="auto" w:sz="4" w:space="0"/>
              <w:left w:val="nil"/>
              <w:bottom w:val="single" w:color="auto" w:sz="4" w:space="0"/>
              <w:right w:val="single" w:color="auto" w:sz="4" w:space="0"/>
            </w:tcBorders>
            <w:noWrap/>
            <w:vAlign w:val="center"/>
          </w:tcPr>
          <w:p w14:paraId="4A6727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3405" w:type="pct"/>
            <w:tcBorders>
              <w:top w:val="single" w:color="auto" w:sz="4" w:space="0"/>
              <w:left w:val="nil"/>
              <w:bottom w:val="single" w:color="auto" w:sz="4" w:space="0"/>
              <w:right w:val="single" w:color="auto" w:sz="4" w:space="0"/>
            </w:tcBorders>
            <w:noWrap w:val="0"/>
            <w:vAlign w:val="center"/>
          </w:tcPr>
          <w:p w14:paraId="344BC5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男女不限，55周岁及以下，</w:t>
            </w:r>
            <w:r>
              <w:rPr>
                <w:rFonts w:hint="eastAsia" w:ascii="宋体" w:hAnsi="宋体" w:eastAsia="宋体" w:cs="宋体"/>
                <w:color w:val="auto"/>
                <w:kern w:val="0"/>
                <w:sz w:val="21"/>
                <w:szCs w:val="21"/>
                <w:highlight w:val="none"/>
                <w:lang w:val="en-US" w:eastAsia="zh-CN"/>
              </w:rPr>
              <w:t>有3年以上相应岗位工作经验，有相关资格</w:t>
            </w:r>
            <w:r>
              <w:rPr>
                <w:rFonts w:hint="eastAsia" w:ascii="宋体" w:hAnsi="宋体" w:cs="宋体"/>
                <w:color w:val="auto"/>
                <w:kern w:val="0"/>
                <w:sz w:val="21"/>
                <w:szCs w:val="21"/>
                <w:highlight w:val="none"/>
                <w:lang w:val="en-US" w:eastAsia="zh-CN"/>
              </w:rPr>
              <w:t>等</w:t>
            </w:r>
            <w:r>
              <w:rPr>
                <w:rFonts w:hint="eastAsia" w:ascii="宋体" w:hAnsi="宋体" w:eastAsia="宋体" w:cs="宋体"/>
                <w:color w:val="auto"/>
                <w:kern w:val="0"/>
                <w:sz w:val="21"/>
                <w:szCs w:val="21"/>
                <w:highlight w:val="none"/>
                <w:lang w:val="en-US" w:eastAsia="zh-CN"/>
              </w:rPr>
              <w:t>证书，技术过硬。</w:t>
            </w:r>
          </w:p>
        </w:tc>
      </w:tr>
      <w:tr w14:paraId="3B004009">
        <w:tblPrEx>
          <w:tblCellMar>
            <w:top w:w="0" w:type="dxa"/>
            <w:left w:w="108" w:type="dxa"/>
            <w:bottom w:w="0" w:type="dxa"/>
            <w:right w:w="108" w:type="dxa"/>
          </w:tblCellMar>
        </w:tblPrEx>
        <w:trPr>
          <w:trHeight w:val="567" w:hRule="atLeast"/>
          <w:jc w:val="center"/>
        </w:trPr>
        <w:tc>
          <w:tcPr>
            <w:tcW w:w="1186" w:type="pct"/>
            <w:gridSpan w:val="2"/>
            <w:tcBorders>
              <w:top w:val="single" w:color="auto" w:sz="4" w:space="0"/>
              <w:left w:val="single" w:color="auto" w:sz="4" w:space="0"/>
              <w:bottom w:val="single" w:color="auto" w:sz="4" w:space="0"/>
              <w:right w:val="single" w:color="auto" w:sz="4" w:space="0"/>
            </w:tcBorders>
            <w:noWrap/>
            <w:vAlign w:val="center"/>
          </w:tcPr>
          <w:p w14:paraId="787B06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合计</w:t>
            </w:r>
          </w:p>
        </w:tc>
        <w:tc>
          <w:tcPr>
            <w:tcW w:w="407" w:type="pct"/>
            <w:tcBorders>
              <w:top w:val="single" w:color="auto" w:sz="4" w:space="0"/>
              <w:left w:val="nil"/>
              <w:bottom w:val="single" w:color="auto" w:sz="4" w:space="0"/>
              <w:right w:val="single" w:color="auto" w:sz="4" w:space="0"/>
            </w:tcBorders>
            <w:noWrap/>
            <w:vAlign w:val="center"/>
          </w:tcPr>
          <w:p w14:paraId="0DFA6E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38</w:t>
            </w:r>
          </w:p>
        </w:tc>
        <w:tc>
          <w:tcPr>
            <w:tcW w:w="3405" w:type="pct"/>
            <w:tcBorders>
              <w:top w:val="single" w:color="auto" w:sz="4" w:space="0"/>
              <w:left w:val="nil"/>
              <w:bottom w:val="single" w:color="auto" w:sz="4" w:space="0"/>
              <w:right w:val="single" w:color="auto" w:sz="4" w:space="0"/>
            </w:tcBorders>
            <w:noWrap w:val="0"/>
            <w:vAlign w:val="center"/>
          </w:tcPr>
          <w:p w14:paraId="28FCA4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kern w:val="0"/>
                <w:sz w:val="21"/>
                <w:szCs w:val="21"/>
                <w:highlight w:val="none"/>
              </w:rPr>
            </w:pPr>
          </w:p>
        </w:tc>
      </w:tr>
    </w:tbl>
    <w:p w14:paraId="1D6E3F3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2.人员必须相对固定，未经采购人同意，不得随意更换相关服务人员。除特殊情况外不得使用临时工代替。</w:t>
      </w:r>
    </w:p>
    <w:p w14:paraId="7F7AB13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3.所有工作人员必须身体健康，政治思想好，业务素质和工作责任心强，具备相应的能力和经验，经过岗前培训合格才能上岗。</w:t>
      </w:r>
    </w:p>
    <w:p w14:paraId="415DF76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4.服务期间，投标人对员工的安全负责，如因安全作业或安全预防措施不到位，造成的一切安全责任由投标人承担，与采购人无关。</w:t>
      </w:r>
    </w:p>
    <w:p w14:paraId="3A38AAE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5.投标人所有员工必须根据岗位要求持证上岗（包括</w:t>
      </w:r>
      <w:r>
        <w:rPr>
          <w:rFonts w:hint="eastAsia" w:ascii="宋体" w:hAnsi="宋体" w:cs="宋体"/>
          <w:color w:val="auto"/>
          <w:kern w:val="0"/>
          <w:sz w:val="21"/>
          <w:szCs w:val="21"/>
          <w:highlight w:val="none"/>
          <w:lang w:val="en-US" w:eastAsia="zh-CN"/>
        </w:rPr>
        <w:t>相关必要的</w:t>
      </w:r>
      <w:r>
        <w:rPr>
          <w:rFonts w:hint="eastAsia" w:ascii="宋体" w:hAnsi="宋体" w:eastAsia="宋体" w:cs="宋体"/>
          <w:color w:val="auto"/>
          <w:kern w:val="0"/>
          <w:sz w:val="21"/>
          <w:szCs w:val="21"/>
          <w:highlight w:val="none"/>
          <w:lang w:val="en-US" w:eastAsia="zh-CN"/>
        </w:rPr>
        <w:t>从业资格证书</w:t>
      </w:r>
      <w:r>
        <w:rPr>
          <w:rFonts w:hint="eastAsia" w:ascii="宋体" w:hAnsi="宋体" w:cs="宋体"/>
          <w:color w:val="auto"/>
          <w:kern w:val="0"/>
          <w:sz w:val="21"/>
          <w:szCs w:val="21"/>
          <w:highlight w:val="none"/>
          <w:lang w:val="en-US" w:eastAsia="zh-CN"/>
        </w:rPr>
        <w:t>及</w:t>
      </w:r>
      <w:r>
        <w:rPr>
          <w:rFonts w:hint="eastAsia" w:ascii="宋体" w:hAnsi="宋体" w:eastAsia="宋体" w:cs="宋体"/>
          <w:color w:val="auto"/>
          <w:kern w:val="0"/>
          <w:sz w:val="21"/>
          <w:szCs w:val="21"/>
          <w:highlight w:val="none"/>
          <w:lang w:val="en-US" w:eastAsia="zh-CN"/>
        </w:rPr>
        <w:t>有效健康证），注重个人卫生，上班期间必须穿统一的工作服，戴工作帽、工号牌，</w:t>
      </w:r>
      <w:r>
        <w:rPr>
          <w:rFonts w:hint="eastAsia" w:ascii="宋体" w:hAnsi="宋体" w:cs="宋体"/>
          <w:color w:val="auto"/>
          <w:kern w:val="0"/>
          <w:sz w:val="21"/>
          <w:szCs w:val="21"/>
          <w:highlight w:val="none"/>
          <w:lang w:val="en-US" w:eastAsia="zh-CN"/>
        </w:rPr>
        <w:t>要求所有工作人员</w:t>
      </w:r>
      <w:r>
        <w:rPr>
          <w:rFonts w:hint="eastAsia" w:ascii="宋体" w:hAnsi="宋体" w:eastAsia="宋体" w:cs="宋体"/>
          <w:color w:val="auto"/>
          <w:kern w:val="0"/>
          <w:sz w:val="21"/>
          <w:szCs w:val="21"/>
          <w:highlight w:val="none"/>
          <w:lang w:val="en-US" w:eastAsia="zh-CN"/>
        </w:rPr>
        <w:t>必须戴口罩</w:t>
      </w:r>
      <w:r>
        <w:rPr>
          <w:rFonts w:hint="eastAsia" w:ascii="宋体" w:hAnsi="宋体" w:cs="宋体"/>
          <w:color w:val="auto"/>
          <w:kern w:val="0"/>
          <w:sz w:val="21"/>
          <w:szCs w:val="21"/>
          <w:highlight w:val="none"/>
          <w:lang w:val="en-US" w:eastAsia="zh-CN"/>
        </w:rPr>
        <w:t>，其他相关岗位人员</w:t>
      </w:r>
      <w:r>
        <w:rPr>
          <w:rFonts w:hint="eastAsia" w:ascii="宋体" w:hAnsi="宋体" w:eastAsia="宋体" w:cs="宋体"/>
          <w:color w:val="auto"/>
          <w:kern w:val="0"/>
          <w:sz w:val="21"/>
          <w:szCs w:val="21"/>
          <w:highlight w:val="none"/>
          <w:lang w:val="en-US" w:eastAsia="zh-CN"/>
        </w:rPr>
        <w:t>戴卫生手套。相关费用由投标人承担。</w:t>
      </w:r>
    </w:p>
    <w:p w14:paraId="20E8A9B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6.投标人及其员工在销售过程中，不得收取现金，不得少刷卡多发菜，不得私拿、私吃餐厅物品、食品，否则采购人有权进行处罚。</w:t>
      </w:r>
    </w:p>
    <w:p w14:paraId="4F797C6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7.投标人及其员工要自觉遵守采购人的各项规章制度，遵纪守法，遵守职业道德，不得泄露任何公务秘密。</w:t>
      </w:r>
    </w:p>
    <w:p w14:paraId="7D17548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8.投标人所有员工必须经过采购人及相关管理部门的入职审核，未通过审核的员工，采购人有权要求投标人按法律法规予以更换或辞退。投标人所有员工须报采购人备案，自觉维护采购人形象</w:t>
      </w:r>
      <w:r>
        <w:rPr>
          <w:rFonts w:hint="eastAsia" w:ascii="宋体" w:hAnsi="宋体" w:cs="宋体"/>
          <w:kern w:val="0"/>
          <w:sz w:val="21"/>
          <w:szCs w:val="21"/>
          <w:highlight w:val="none"/>
          <w:lang w:val="en-US" w:eastAsia="zh-CN"/>
        </w:rPr>
        <w:t>。</w:t>
      </w:r>
    </w:p>
    <w:p w14:paraId="2708D6D9">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b/>
          <w:bCs/>
          <w:kern w:val="0"/>
          <w:sz w:val="21"/>
          <w:szCs w:val="21"/>
          <w:highlight w:val="none"/>
          <w:lang w:val="en-US" w:eastAsia="zh-CN"/>
        </w:rPr>
        <w:t>服务期间，关键岗位人员（即项目负责人、</w:t>
      </w:r>
      <w:r>
        <w:rPr>
          <w:rFonts w:hint="eastAsia" w:ascii="宋体" w:hAnsi="宋体" w:cs="宋体"/>
          <w:b/>
          <w:bCs/>
          <w:kern w:val="0"/>
          <w:sz w:val="21"/>
          <w:szCs w:val="21"/>
          <w:highlight w:val="none"/>
          <w:lang w:val="en-US" w:eastAsia="zh-CN"/>
        </w:rPr>
        <w:t>厨师长、厨师、点心师、面档工、食堂安全管理员</w:t>
      </w:r>
      <w:r>
        <w:rPr>
          <w:rFonts w:hint="eastAsia" w:ascii="宋体" w:hAnsi="宋体" w:eastAsia="宋体" w:cs="宋体"/>
          <w:b/>
          <w:bCs/>
          <w:kern w:val="0"/>
          <w:sz w:val="21"/>
          <w:szCs w:val="21"/>
          <w:highlight w:val="none"/>
          <w:lang w:val="en-US" w:eastAsia="zh-CN"/>
        </w:rPr>
        <w:t>岗位）调整</w:t>
      </w:r>
      <w:r>
        <w:rPr>
          <w:rFonts w:hint="eastAsia" w:ascii="宋体" w:hAnsi="宋体" w:cs="宋体"/>
          <w:b/>
          <w:bCs/>
          <w:kern w:val="0"/>
          <w:sz w:val="21"/>
          <w:szCs w:val="21"/>
          <w:highlight w:val="none"/>
          <w:lang w:val="en-US" w:eastAsia="zh-CN"/>
        </w:rPr>
        <w:t>须经采购人及相关管理部门同意</w:t>
      </w:r>
      <w:r>
        <w:rPr>
          <w:rFonts w:hint="eastAsia" w:ascii="宋体" w:hAnsi="宋体" w:eastAsia="宋体" w:cs="宋体"/>
          <w:b/>
          <w:bCs/>
          <w:kern w:val="0"/>
          <w:sz w:val="21"/>
          <w:szCs w:val="21"/>
          <w:highlight w:val="none"/>
          <w:lang w:val="en-US" w:eastAsia="zh-CN"/>
        </w:rPr>
        <w:t>，</w:t>
      </w:r>
      <w:r>
        <w:rPr>
          <w:rFonts w:hint="eastAsia" w:ascii="宋体" w:hAnsi="宋体" w:cs="宋体"/>
          <w:b/>
          <w:bCs/>
          <w:kern w:val="0"/>
          <w:sz w:val="21"/>
          <w:szCs w:val="21"/>
          <w:highlight w:val="none"/>
          <w:lang w:val="en-US" w:eastAsia="zh-CN"/>
        </w:rPr>
        <w:t>拟到岗人员</w:t>
      </w:r>
      <w:r>
        <w:rPr>
          <w:rFonts w:hint="eastAsia" w:ascii="宋体" w:hAnsi="宋体" w:eastAsia="宋体" w:cs="宋体"/>
          <w:b/>
          <w:bCs/>
          <w:kern w:val="0"/>
          <w:sz w:val="21"/>
          <w:szCs w:val="21"/>
          <w:highlight w:val="none"/>
          <w:lang w:val="en-US" w:eastAsia="zh-CN"/>
        </w:rPr>
        <w:t>经政审通过后方可上岗，</w:t>
      </w:r>
      <w:r>
        <w:rPr>
          <w:rFonts w:hint="eastAsia" w:ascii="宋体" w:hAnsi="宋体" w:cs="宋体"/>
          <w:b/>
          <w:bCs/>
          <w:kern w:val="0"/>
          <w:sz w:val="21"/>
          <w:szCs w:val="21"/>
          <w:highlight w:val="none"/>
          <w:lang w:val="en-US" w:eastAsia="zh-CN"/>
        </w:rPr>
        <w:t>投标人</w:t>
      </w:r>
      <w:r>
        <w:rPr>
          <w:rFonts w:hint="eastAsia" w:ascii="宋体" w:hAnsi="宋体" w:eastAsia="宋体" w:cs="宋体"/>
          <w:b/>
          <w:bCs/>
          <w:kern w:val="0"/>
          <w:sz w:val="21"/>
          <w:szCs w:val="21"/>
          <w:highlight w:val="none"/>
          <w:lang w:val="en-US" w:eastAsia="zh-CN"/>
        </w:rPr>
        <w:t>须将调整人员</w:t>
      </w:r>
      <w:r>
        <w:rPr>
          <w:rFonts w:hint="eastAsia" w:ascii="宋体" w:hAnsi="宋体" w:cs="宋体"/>
          <w:b/>
          <w:bCs/>
          <w:kern w:val="0"/>
          <w:sz w:val="21"/>
          <w:szCs w:val="21"/>
          <w:highlight w:val="none"/>
          <w:lang w:val="en-US" w:eastAsia="zh-CN"/>
        </w:rPr>
        <w:t>情况完整向采购人报备</w:t>
      </w:r>
      <w:r>
        <w:rPr>
          <w:rFonts w:hint="eastAsia" w:ascii="宋体" w:hAnsi="宋体" w:eastAsia="宋体" w:cs="宋体"/>
          <w:b/>
          <w:bCs/>
          <w:kern w:val="0"/>
          <w:sz w:val="21"/>
          <w:szCs w:val="21"/>
          <w:highlight w:val="none"/>
          <w:lang w:val="en-US" w:eastAsia="zh-CN"/>
        </w:rPr>
        <w:t>。</w:t>
      </w:r>
    </w:p>
    <w:p w14:paraId="536FD29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投标人必须严格按照《中华人民共和国劳动法》及相关规定，规范用工及支付职工薪酬，必须符合本地最低工资标准和社会保险缴费要求，不得拖欠克扣员工应有待遇，确保职工的相关权益，从而保证用工合法性和人员队伍稳定性。如因用工不规范或薪酬问题等产生的纠纷与采购人无关，由投标人负责解决。如发生债权、债务纠纷和工伤等责任事故，均由投标人负责承担。</w:t>
      </w:r>
    </w:p>
    <w:p w14:paraId="499E7E7D">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1"/>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（四）服务标准</w:t>
      </w:r>
    </w:p>
    <w:p w14:paraId="6FFAFCA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1.服务热情、耐心、细致，语言文明礼貌，态度亲切友好；仪容仪表端庄大方，干净整洁，着装规范。</w:t>
      </w:r>
    </w:p>
    <w:p w14:paraId="2CA494E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2.服务技能娴熟，工作效率高，分菜快速均匀，刷卡结算快速准确；按规定时间提供餐饮服务。</w:t>
      </w:r>
    </w:p>
    <w:p w14:paraId="4239C5E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3.菜品品种丰富，定期更新菜品，积极创新菜肴品种，每月推出一款新品菜肴，根据季节变化推出适宜菜品。</w:t>
      </w:r>
    </w:p>
    <w:p w14:paraId="28BFE4F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严格把控食材质量，强化原材料质量控制；加强食品保存管理，食品生熟分开存放，成品半成品加膜加盖存放；强化菜品制作流程监管，拣洗干净，无黄叶、草、虫、杂物等，菜品半成品丝、片、块、段均匀，符合标准。</w:t>
      </w:r>
    </w:p>
    <w:p w14:paraId="615B45A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精心组织厨房生产，严控菜品质量，菜品主辅料配比、调味品配比科学合理，菜品成品色、香、味、型俱佳，荤素品种搭配合理；保证饭菜供应，每天制作包子、水饺和馄饨等点心数量不得低于规定标准，点心成品造型美观、馅心口味合适，服务时间内保证饭菜供应充足，不得出现断供现象。</w:t>
      </w:r>
    </w:p>
    <w:p w14:paraId="5295209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6.严格控制菜品单次烹饪数量，蔬菜类菜品一次烹饪完成，衔接时间控制合理，不得出现菜品出锅时间过长、菜品不新鲜或大量浪费现象；注重现场菜品保温管理，及时按规定加热，不得出现冷饭冷菜现象。</w:t>
      </w:r>
    </w:p>
    <w:p w14:paraId="638A19A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7.餐厅环境卫生干净明亮、整洁有序，大厅天花板、装饰物、墙壁及门窗无污迹，桌椅无污迹油迹，服务台面、垃圾桶表面、服务台玻璃表面无污迹油迹；餐厅内无蚊蝇、蟑螂、老鼠等。</w:t>
      </w:r>
    </w:p>
    <w:p w14:paraId="0B2F784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8.厨房环境干净整洁，工作区无杂物，物品按规定归类定位放置，收工后及时整理清洁厨房地面、炉灶；泔水、垃圾等废弃物应按规定存放，当餐及时清除，无明显异味。</w:t>
      </w:r>
    </w:p>
    <w:p w14:paraId="73239CE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加强员工健康及卫生管理，身体健康及穿戴符合要求。员工不得化浓妆、不得使用气味怪异或浓烈香水，不得留长指甲、涂指甲油，男同志不得留长发、长胡须；熟食品操作、传菜及服务人员应按规定佩戴一次性手套、口罩；员工有发热、腹泻等有碍食品卫生病症的，应及时调离工作岗位。</w:t>
      </w:r>
    </w:p>
    <w:p w14:paraId="2F3FFA6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厨房物品按要求管理到位，加工现场井然有序。收工后刀具及砧板应及时清洗干净，按规定侧放或悬挂；调味品使用后应按规定管理，调味罐周边清理干净整洁；烹调用具、清洁用具及车辆使用后应及时清洗干净，按规定位置归放。</w:t>
      </w:r>
    </w:p>
    <w:p w14:paraId="62C7E90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11.储物柜、盛器、容器、餐具管理规范，干净整洁卫生。储物柜内物品摆放整齐有序，按规定贴好标识；盛器、容器应清洗干净，无污迹；餐具应清洗干净，用纱布覆盖分类平整堆放，无污迹水迹。</w:t>
      </w:r>
    </w:p>
    <w:p w14:paraId="054F14E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12.做好食品留样及记录工作，不得不留或漏留，不得不记录或记录不全；按规定使用调味品及添加剂。</w:t>
      </w:r>
    </w:p>
    <w:p w14:paraId="6EC3D4E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宋体"/>
          <w:color w:val="auto"/>
          <w:kern w:val="2"/>
          <w:highlight w:val="none"/>
        </w:rPr>
      </w:pPr>
      <w:r>
        <w:rPr>
          <w:rFonts w:hint="eastAsia" w:ascii="宋体" w:hAnsi="宋体" w:eastAsia="宋体" w:cs="宋体"/>
          <w:kern w:val="0"/>
          <w:sz w:val="21"/>
          <w:szCs w:val="21"/>
          <w:highlight w:val="none"/>
          <w:lang w:val="en-US" w:eastAsia="zh-CN"/>
        </w:rPr>
        <w:t>13.加强工作服务区域安全管理，杜绝安全事故。天然气使用过程中现场必须有人员在场，餐后及时关闭水电气开关，熟练掌握现场灭火器使用方法，服务时间结束后及时锁闭餐厅门窗。</w:t>
      </w:r>
    </w:p>
    <w:p w14:paraId="296D1A19">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1"/>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（五）其他</w:t>
      </w:r>
      <w:r>
        <w:rPr>
          <w:rFonts w:hint="eastAsia" w:ascii="宋体" w:hAnsi="宋体" w:cs="宋体"/>
          <w:b/>
          <w:bCs/>
          <w:color w:val="000000"/>
          <w:kern w:val="0"/>
          <w:sz w:val="21"/>
          <w:szCs w:val="21"/>
          <w:highlight w:val="none"/>
          <w:lang w:val="en-US" w:eastAsia="zh-CN"/>
        </w:rPr>
        <w:t>要求</w:t>
      </w:r>
    </w:p>
    <w:p w14:paraId="00797DB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1.采购人向投标人提供必要的办公用房，提供餐厅所需水、电、气，并承担其费用。</w:t>
      </w:r>
    </w:p>
    <w:p w14:paraId="59B765C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2.采购人提供投标人在服务管理过程中餐厅所需的低值易耗品（抹布、拖把、笤帚、餐巾纸、</w:t>
      </w:r>
      <w:r>
        <w:rPr>
          <w:rFonts w:hint="eastAsia" w:ascii="宋体" w:hAnsi="宋体" w:cs="宋体"/>
          <w:kern w:val="0"/>
          <w:sz w:val="21"/>
          <w:szCs w:val="21"/>
          <w:highlight w:val="none"/>
          <w:lang w:val="en-US" w:eastAsia="zh-CN"/>
        </w:rPr>
        <w:t>洗涤剂</w:t>
      </w:r>
      <w:r>
        <w:rPr>
          <w:rFonts w:hint="eastAsia" w:ascii="宋体" w:hAnsi="宋体" w:eastAsia="宋体" w:cs="宋体"/>
          <w:kern w:val="0"/>
          <w:sz w:val="21"/>
          <w:szCs w:val="21"/>
          <w:highlight w:val="none"/>
          <w:lang w:val="en-US" w:eastAsia="zh-CN"/>
        </w:rPr>
        <w:t>等）。</w:t>
      </w:r>
    </w:p>
    <w:p w14:paraId="318F247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3.采购人对投标人服务管理工作进行管理、协调、督查和考核。</w:t>
      </w:r>
    </w:p>
    <w:p w14:paraId="6A88B19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4.投标人未能达到采购文件规定的服务管理标准，采购人有权要求投标人限期进行整改，逾期未整改的，采购人有权终止合同。</w:t>
      </w:r>
    </w:p>
    <w:p w14:paraId="5ABFDD8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5.投标人如提供不在采购文件范围内的项目按实另行计费。</w:t>
      </w:r>
    </w:p>
    <w:p w14:paraId="5CCB9B1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6.工作时间内，为投标人餐厅员工提供免费</w:t>
      </w:r>
      <w:r>
        <w:rPr>
          <w:rFonts w:hint="eastAsia" w:ascii="宋体" w:hAnsi="宋体" w:cs="宋体"/>
          <w:kern w:val="0"/>
          <w:sz w:val="21"/>
          <w:szCs w:val="21"/>
          <w:highlight w:val="none"/>
          <w:lang w:val="en-US" w:eastAsia="zh-CN"/>
        </w:rPr>
        <w:t>餐线</w:t>
      </w:r>
      <w:r>
        <w:rPr>
          <w:rFonts w:hint="eastAsia" w:ascii="宋体" w:hAnsi="宋体" w:eastAsia="宋体" w:cs="宋体"/>
          <w:kern w:val="0"/>
          <w:sz w:val="21"/>
          <w:szCs w:val="21"/>
          <w:highlight w:val="none"/>
          <w:lang w:val="en-US" w:eastAsia="zh-CN"/>
        </w:rPr>
        <w:t>简餐。</w:t>
      </w:r>
    </w:p>
    <w:p w14:paraId="4C6A911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7.服务期间，如国家发布最低基本工资和最低社会保险缴纳基数标准等规定，中标人应保障服务人员的基本法定待遇，但采购人并不为此支付增加的有关费用。</w:t>
      </w:r>
    </w:p>
    <w:p w14:paraId="5672CF3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8.服务期满，投标人不再继续服务，在新的服务单位接管相应的服务管理工作前，除采购人要求投标人提前撤离外，新老服务单位的交接过渡期</w:t>
      </w:r>
      <w:r>
        <w:rPr>
          <w:rFonts w:hint="eastAsia" w:ascii="宋体" w:hAnsi="宋体" w:cs="宋体"/>
          <w:kern w:val="0"/>
          <w:sz w:val="21"/>
          <w:szCs w:val="21"/>
          <w:highlight w:val="none"/>
          <w:lang w:val="en-US" w:eastAsia="zh-CN"/>
        </w:rPr>
        <w:t>原则上</w:t>
      </w:r>
      <w:r>
        <w:rPr>
          <w:rFonts w:hint="eastAsia" w:ascii="宋体" w:hAnsi="宋体" w:eastAsia="宋体" w:cs="宋体"/>
          <w:kern w:val="0"/>
          <w:sz w:val="21"/>
          <w:szCs w:val="21"/>
          <w:highlight w:val="none"/>
          <w:lang w:val="en-US" w:eastAsia="zh-CN"/>
        </w:rPr>
        <w:t>最长为1个月，在此期间投标人应继续提供相应服务及管理，过渡期服务标准和服务费用标准不变，由投标人收取；1个月过渡期满后，必须按规定进行交接撤离；但如遇特殊情况</w:t>
      </w:r>
      <w:r>
        <w:rPr>
          <w:rFonts w:hint="eastAsia" w:ascii="宋体" w:hAnsi="宋体" w:cs="宋体"/>
          <w:kern w:val="0"/>
          <w:sz w:val="21"/>
          <w:szCs w:val="21"/>
          <w:highlight w:val="none"/>
          <w:lang w:val="en-US" w:eastAsia="zh-CN"/>
        </w:rPr>
        <w:t>采购人</w:t>
      </w:r>
      <w:r>
        <w:rPr>
          <w:rFonts w:hint="eastAsia" w:ascii="宋体" w:hAnsi="宋体" w:eastAsia="宋体" w:cs="宋体"/>
          <w:kern w:val="0"/>
          <w:sz w:val="21"/>
          <w:szCs w:val="21"/>
          <w:highlight w:val="none"/>
          <w:lang w:val="en-US" w:eastAsia="zh-CN"/>
        </w:rPr>
        <w:t>需要延长交接过渡期的，</w:t>
      </w:r>
      <w:r>
        <w:rPr>
          <w:rFonts w:hint="eastAsia" w:ascii="宋体" w:hAnsi="宋体" w:cs="宋体"/>
          <w:kern w:val="0"/>
          <w:sz w:val="21"/>
          <w:szCs w:val="21"/>
          <w:highlight w:val="none"/>
          <w:lang w:val="en-US" w:eastAsia="zh-CN"/>
        </w:rPr>
        <w:t>投标人</w:t>
      </w:r>
      <w:r>
        <w:rPr>
          <w:rFonts w:hint="eastAsia" w:ascii="宋体" w:hAnsi="宋体" w:eastAsia="宋体" w:cs="宋体"/>
          <w:kern w:val="0"/>
          <w:sz w:val="21"/>
          <w:szCs w:val="21"/>
          <w:highlight w:val="none"/>
          <w:lang w:val="en-US" w:eastAsia="zh-CN"/>
        </w:rPr>
        <w:t>应积极配合</w:t>
      </w:r>
      <w:r>
        <w:rPr>
          <w:rFonts w:hint="eastAsia" w:ascii="宋体" w:hAnsi="宋体" w:cs="宋体"/>
          <w:kern w:val="0"/>
          <w:sz w:val="21"/>
          <w:szCs w:val="21"/>
          <w:highlight w:val="none"/>
          <w:lang w:val="en-US" w:eastAsia="zh-CN"/>
        </w:rPr>
        <w:t>采购人</w:t>
      </w:r>
      <w:r>
        <w:rPr>
          <w:rFonts w:hint="eastAsia" w:ascii="宋体" w:hAnsi="宋体" w:eastAsia="宋体" w:cs="宋体"/>
          <w:kern w:val="0"/>
          <w:sz w:val="21"/>
          <w:szCs w:val="21"/>
          <w:highlight w:val="none"/>
          <w:lang w:val="en-US" w:eastAsia="zh-CN"/>
        </w:rPr>
        <w:t>完成相应延长交接过渡事宜。</w:t>
      </w:r>
    </w:p>
    <w:p w14:paraId="4B66579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根据采购人工作需要，</w:t>
      </w:r>
      <w:r>
        <w:rPr>
          <w:rFonts w:hint="eastAsia" w:ascii="宋体" w:hAnsi="宋体" w:eastAsia="宋体" w:cs="宋体"/>
          <w:sz w:val="21"/>
          <w:szCs w:val="21"/>
          <w:highlight w:val="none"/>
          <w:lang w:eastAsia="zh-CN"/>
        </w:rPr>
        <w:t>投标人</w:t>
      </w:r>
      <w:r>
        <w:rPr>
          <w:rFonts w:hint="eastAsia" w:ascii="宋体" w:hAnsi="宋体" w:eastAsia="宋体" w:cs="宋体"/>
          <w:sz w:val="21"/>
          <w:szCs w:val="21"/>
          <w:highlight w:val="none"/>
        </w:rPr>
        <w:t>应安排好双休日及节假日服务人员。</w:t>
      </w:r>
    </w:p>
    <w:p w14:paraId="6EB6E7B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eastAsia="zh-CN"/>
        </w:rPr>
        <w:t>投标人</w:t>
      </w:r>
      <w:r>
        <w:rPr>
          <w:rFonts w:hint="eastAsia" w:ascii="宋体" w:hAnsi="宋体" w:eastAsia="宋体" w:cs="宋体"/>
          <w:sz w:val="21"/>
          <w:szCs w:val="21"/>
          <w:highlight w:val="none"/>
        </w:rPr>
        <w:t>必须根据</w:t>
      </w:r>
      <w:r>
        <w:rPr>
          <w:rFonts w:hint="eastAsia" w:ascii="宋体" w:hAnsi="宋体" w:eastAsia="宋体" w:cs="宋体"/>
          <w:sz w:val="21"/>
          <w:szCs w:val="21"/>
          <w:highlight w:val="none"/>
          <w:lang w:eastAsia="zh-CN"/>
        </w:rPr>
        <w:t>招标文件</w:t>
      </w:r>
      <w:r>
        <w:rPr>
          <w:rFonts w:hint="eastAsia" w:ascii="宋体" w:hAnsi="宋体" w:eastAsia="宋体" w:cs="宋体"/>
          <w:sz w:val="21"/>
          <w:szCs w:val="21"/>
          <w:highlight w:val="none"/>
        </w:rPr>
        <w:t>提供各项管理标准，岗位职责及工作程序，自查考核和服务承诺；必须遵守采购人各项制度和管理规定，并服从采购人的管理。</w:t>
      </w:r>
    </w:p>
    <w:p w14:paraId="199B818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如出现</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自身管理或</w:t>
      </w:r>
      <w:r>
        <w:rPr>
          <w:rFonts w:hint="eastAsia" w:ascii="宋体" w:hAnsi="宋体" w:cs="宋体"/>
          <w:sz w:val="21"/>
          <w:szCs w:val="21"/>
          <w:highlight w:val="none"/>
          <w:lang w:eastAsia="zh-CN"/>
        </w:rPr>
        <w:t>沟通不力</w:t>
      </w:r>
      <w:r>
        <w:rPr>
          <w:rFonts w:hint="eastAsia" w:ascii="宋体" w:hAnsi="宋体" w:eastAsia="宋体" w:cs="宋体"/>
          <w:sz w:val="21"/>
          <w:szCs w:val="21"/>
          <w:highlight w:val="none"/>
        </w:rPr>
        <w:t>使员工通过各类渠道或以其他方式对采购人的声誉造成不利影响，以及因</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服务质量或员工素质等原因有损采购人的社会公众形象、口碑等情况，</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必须第一时间负责将不利影响降到最低并及时妥善处理，同时承担由此造成的声誉损失后果。采购人保留从经济、法律或其他形式向</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追究责任的权利。</w:t>
      </w:r>
    </w:p>
    <w:p w14:paraId="287E9AF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擅自将服务合同转包给第三人的或委托其他单位经营管理的，以及</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违反法律法规、规章或其他相关规范性文件的规定，影响合同履行的，采购人有权无条件终止本项目合同而无须向</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支付任何费用或承担其他任何责任，由此产生的经济损失和法律责任均由</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承担。</w:t>
      </w:r>
    </w:p>
    <w:p w14:paraId="387494B4">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1"/>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（六）安全管理</w:t>
      </w:r>
    </w:p>
    <w:p w14:paraId="4C9DD5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安全生产目标</w:t>
      </w:r>
    </w:p>
    <w:p w14:paraId="34C98C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b w:val="0"/>
          <w:bCs w:val="0"/>
          <w:color w:val="auto"/>
          <w:sz w:val="21"/>
          <w:szCs w:val="21"/>
          <w:highlight w:val="none"/>
        </w:rPr>
        <w:t>应本着“安全第一、预防为主、综合治理”的安全生产目标，落实安全生产责任制，保障</w:t>
      </w:r>
      <w:r>
        <w:rPr>
          <w:rFonts w:hint="eastAsia" w:ascii="宋体" w:hAnsi="宋体" w:eastAsia="宋体" w:cs="宋体"/>
          <w:b w:val="0"/>
          <w:bCs w:val="0"/>
          <w:color w:val="auto"/>
          <w:sz w:val="21"/>
          <w:szCs w:val="21"/>
          <w:highlight w:val="none"/>
          <w:lang w:val="en-US" w:eastAsia="zh-CN"/>
        </w:rPr>
        <w:t>采购人、就餐人员及相关方</w:t>
      </w:r>
      <w:r>
        <w:rPr>
          <w:rFonts w:hint="eastAsia" w:ascii="宋体" w:hAnsi="宋体" w:eastAsia="宋体" w:cs="宋体"/>
          <w:b w:val="0"/>
          <w:bCs w:val="0"/>
          <w:color w:val="auto"/>
          <w:sz w:val="21"/>
          <w:szCs w:val="21"/>
          <w:highlight w:val="none"/>
        </w:rPr>
        <w:t>的</w:t>
      </w:r>
      <w:r>
        <w:rPr>
          <w:rFonts w:hint="eastAsia" w:ascii="宋体" w:hAnsi="宋体" w:eastAsia="宋体" w:cs="宋体"/>
          <w:b w:val="0"/>
          <w:bCs w:val="0"/>
          <w:color w:val="auto"/>
          <w:sz w:val="21"/>
          <w:szCs w:val="21"/>
          <w:highlight w:val="none"/>
          <w:lang w:val="en-US" w:eastAsia="zh-CN"/>
        </w:rPr>
        <w:t>人身、</w:t>
      </w:r>
      <w:r>
        <w:rPr>
          <w:rFonts w:hint="eastAsia" w:ascii="宋体" w:hAnsi="宋体" w:eastAsia="宋体" w:cs="宋体"/>
          <w:b w:val="0"/>
          <w:bCs w:val="0"/>
          <w:color w:val="auto"/>
          <w:sz w:val="21"/>
          <w:szCs w:val="21"/>
          <w:highlight w:val="none"/>
        </w:rPr>
        <w:t>财产安全。</w:t>
      </w:r>
      <w:r>
        <w:rPr>
          <w:rFonts w:hint="eastAsia" w:ascii="宋体" w:hAnsi="宋体" w:cs="宋体"/>
          <w:color w:val="auto"/>
          <w:sz w:val="21"/>
          <w:szCs w:val="21"/>
          <w:highlight w:val="none"/>
          <w:lang w:eastAsia="zh-CN"/>
        </w:rPr>
        <w:t>投标人对生产经营现场</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val="en-US" w:eastAsia="zh-CN"/>
        </w:rPr>
        <w:t>场所的</w:t>
      </w:r>
      <w:r>
        <w:rPr>
          <w:rFonts w:hint="eastAsia" w:ascii="宋体" w:hAnsi="宋体" w:eastAsia="宋体" w:cs="宋体"/>
          <w:color w:val="auto"/>
          <w:sz w:val="21"/>
          <w:szCs w:val="21"/>
          <w:highlight w:val="none"/>
        </w:rPr>
        <w:t>职业卫生、环境、水电气、消防、用工、交通安全等工作负全面管理的责任</w:t>
      </w:r>
      <w:r>
        <w:rPr>
          <w:rFonts w:hint="eastAsia" w:ascii="宋体" w:hAnsi="宋体" w:eastAsia="宋体" w:cs="宋体"/>
          <w:color w:val="auto"/>
          <w:sz w:val="21"/>
          <w:szCs w:val="21"/>
          <w:highlight w:val="none"/>
          <w:lang w:eastAsia="zh-CN"/>
        </w:rPr>
        <w:t>。</w:t>
      </w:r>
    </w:p>
    <w:p w14:paraId="0972E3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食品卫生安全管理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包括但不限于以下内容</w:t>
      </w:r>
      <w:r>
        <w:rPr>
          <w:rFonts w:hint="eastAsia" w:ascii="宋体" w:hAnsi="宋体" w:eastAsia="宋体" w:cs="宋体"/>
          <w:b w:val="0"/>
          <w:bCs w:val="0"/>
          <w:color w:val="auto"/>
          <w:sz w:val="21"/>
          <w:szCs w:val="21"/>
          <w:highlight w:val="none"/>
          <w:lang w:eastAsia="zh-CN"/>
        </w:rPr>
        <w:t>）</w:t>
      </w:r>
    </w:p>
    <w:p w14:paraId="559730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（1）投标人</w:t>
      </w:r>
      <w:r>
        <w:rPr>
          <w:rFonts w:hint="eastAsia" w:ascii="宋体" w:hAnsi="宋体" w:eastAsia="宋体" w:cs="宋体"/>
          <w:b w:val="0"/>
          <w:bCs w:val="0"/>
          <w:color w:val="auto"/>
          <w:sz w:val="21"/>
          <w:szCs w:val="21"/>
          <w:highlight w:val="none"/>
        </w:rPr>
        <w:t>烹饪食品要做到生熟分开，分类寄存，不得混放，以确保食品味美纯正。操作时要分台、分池操作，以免交叉污染；蔬菜类要按一拣、二洗、三切、四浸泡的顺序操作。</w:t>
      </w:r>
    </w:p>
    <w:p w14:paraId="21F94AE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（2）投标人</w:t>
      </w:r>
      <w:r>
        <w:rPr>
          <w:rFonts w:hint="eastAsia" w:ascii="宋体" w:hAnsi="宋体" w:eastAsia="宋体" w:cs="宋体"/>
          <w:b w:val="0"/>
          <w:bCs w:val="0"/>
          <w:color w:val="auto"/>
          <w:sz w:val="21"/>
          <w:szCs w:val="21"/>
          <w:highlight w:val="none"/>
        </w:rPr>
        <w:t>必须加强对食品原料及各类调味品的管理和检验，保证食品原料和各类调味品符合国家卫生标准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保证食材、原材料、调味品、粮食等所有物品的使用安全及使用规范。</w:t>
      </w:r>
    </w:p>
    <w:p w14:paraId="377B14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（3）投标人</w:t>
      </w:r>
      <w:r>
        <w:rPr>
          <w:rFonts w:hint="eastAsia" w:ascii="宋体" w:hAnsi="宋体" w:eastAsia="宋体" w:cs="宋体"/>
          <w:b w:val="0"/>
          <w:bCs w:val="0"/>
          <w:color w:val="auto"/>
          <w:sz w:val="21"/>
          <w:szCs w:val="21"/>
          <w:highlight w:val="none"/>
        </w:rPr>
        <w:t>必须保证在食品原料烹饪前严格进行清洗</w:t>
      </w:r>
      <w:r>
        <w:rPr>
          <w:rFonts w:hint="eastAsia" w:ascii="宋体" w:hAnsi="宋体" w:eastAsia="宋体" w:cs="宋体"/>
          <w:b w:val="0"/>
          <w:bCs w:val="0"/>
          <w:color w:val="auto"/>
          <w:sz w:val="21"/>
          <w:szCs w:val="21"/>
          <w:highlight w:val="none"/>
          <w:lang w:val="en-US" w:eastAsia="zh-CN"/>
        </w:rPr>
        <w:t>消毒</w:t>
      </w:r>
      <w:r>
        <w:rPr>
          <w:rFonts w:hint="eastAsia" w:ascii="宋体" w:hAnsi="宋体" w:eastAsia="宋体" w:cs="宋体"/>
          <w:b w:val="0"/>
          <w:bCs w:val="0"/>
          <w:color w:val="auto"/>
          <w:sz w:val="21"/>
          <w:szCs w:val="21"/>
          <w:highlight w:val="none"/>
        </w:rPr>
        <w:t>，避免各类食品带“毒”下锅。</w:t>
      </w:r>
    </w:p>
    <w:p w14:paraId="2418E4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（4）投标人</w:t>
      </w:r>
      <w:r>
        <w:rPr>
          <w:rFonts w:hint="eastAsia" w:ascii="宋体" w:hAnsi="宋体" w:eastAsia="宋体" w:cs="宋体"/>
          <w:b w:val="0"/>
          <w:bCs w:val="0"/>
          <w:color w:val="auto"/>
          <w:sz w:val="21"/>
          <w:szCs w:val="21"/>
          <w:highlight w:val="none"/>
        </w:rPr>
        <w:t>员工须持健康证方可上岗，并定期接受体检。在工作范围内不得随地吐痰、吸烟、留长指甲、涂口红等；工作时间中严禁谈笑打闹、不得在厨房内洗涤衣物。保持良好的卫生操作习惯，上班时穿好工作服，戴好标识牌、工帽、口罩，不得对食品咳嗽、打喷嚏及做</w:t>
      </w:r>
      <w:r>
        <w:rPr>
          <w:rFonts w:hint="eastAsia" w:ascii="宋体" w:hAnsi="宋体" w:cs="宋体"/>
          <w:b w:val="0"/>
          <w:bCs w:val="0"/>
          <w:color w:val="auto"/>
          <w:sz w:val="21"/>
          <w:szCs w:val="21"/>
          <w:highlight w:val="none"/>
          <w:lang w:eastAsia="zh-CN"/>
        </w:rPr>
        <w:t>其他</w:t>
      </w:r>
      <w:r>
        <w:rPr>
          <w:rFonts w:hint="eastAsia" w:ascii="宋体" w:hAnsi="宋体" w:eastAsia="宋体" w:cs="宋体"/>
          <w:b w:val="0"/>
          <w:bCs w:val="0"/>
          <w:color w:val="auto"/>
          <w:sz w:val="21"/>
          <w:szCs w:val="21"/>
          <w:highlight w:val="none"/>
        </w:rPr>
        <w:t>不卫生动作。</w:t>
      </w:r>
    </w:p>
    <w:p w14:paraId="5B966BD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若有食物中毒</w:t>
      </w:r>
      <w:r>
        <w:rPr>
          <w:rFonts w:hint="eastAsia" w:ascii="宋体" w:hAnsi="宋体" w:eastAsia="宋体" w:cs="宋体"/>
          <w:b w:val="0"/>
          <w:bCs w:val="0"/>
          <w:color w:val="auto"/>
          <w:sz w:val="21"/>
          <w:szCs w:val="21"/>
          <w:highlight w:val="none"/>
          <w:lang w:val="en-US" w:eastAsia="zh-CN"/>
        </w:rPr>
        <w:t>或食物污染等不良</w:t>
      </w:r>
      <w:r>
        <w:rPr>
          <w:rFonts w:hint="eastAsia" w:ascii="宋体" w:hAnsi="宋体" w:eastAsia="宋体" w:cs="宋体"/>
          <w:b w:val="0"/>
          <w:bCs w:val="0"/>
          <w:color w:val="auto"/>
          <w:sz w:val="21"/>
          <w:szCs w:val="21"/>
          <w:highlight w:val="none"/>
        </w:rPr>
        <w:t>情况出现时，</w:t>
      </w: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b w:val="0"/>
          <w:bCs w:val="0"/>
          <w:color w:val="auto"/>
          <w:sz w:val="21"/>
          <w:szCs w:val="21"/>
          <w:highlight w:val="none"/>
        </w:rPr>
        <w:t>需要立即停止食堂的生产活动，并</w:t>
      </w:r>
      <w:r>
        <w:rPr>
          <w:rFonts w:hint="eastAsia" w:ascii="宋体" w:hAnsi="宋体" w:eastAsia="宋体" w:cs="宋体"/>
          <w:b w:val="0"/>
          <w:bCs w:val="0"/>
          <w:color w:val="auto"/>
          <w:sz w:val="21"/>
          <w:szCs w:val="21"/>
          <w:highlight w:val="none"/>
          <w:lang w:val="en-US" w:eastAsia="zh-CN"/>
        </w:rPr>
        <w:t>为采购人就餐人员</w:t>
      </w:r>
      <w:r>
        <w:rPr>
          <w:rFonts w:hint="eastAsia" w:ascii="宋体" w:hAnsi="宋体" w:eastAsia="宋体" w:cs="宋体"/>
          <w:b w:val="0"/>
          <w:bCs w:val="0"/>
          <w:color w:val="auto"/>
          <w:sz w:val="21"/>
          <w:szCs w:val="21"/>
          <w:highlight w:val="none"/>
        </w:rPr>
        <w:t>寻找可以解决用餐的方式，随后向政府卫生</w:t>
      </w:r>
      <w:r>
        <w:rPr>
          <w:rFonts w:hint="eastAsia" w:ascii="宋体" w:hAnsi="宋体" w:eastAsia="宋体" w:cs="宋体"/>
          <w:b w:val="0"/>
          <w:bCs w:val="0"/>
          <w:color w:val="auto"/>
          <w:sz w:val="21"/>
          <w:szCs w:val="21"/>
          <w:highlight w:val="none"/>
          <w:lang w:val="en-US" w:eastAsia="zh-CN"/>
        </w:rPr>
        <w:t>部门</w:t>
      </w:r>
      <w:r>
        <w:rPr>
          <w:rFonts w:hint="eastAsia" w:ascii="宋体" w:hAnsi="宋体" w:eastAsia="宋体" w:cs="宋体"/>
          <w:b w:val="0"/>
          <w:bCs w:val="0"/>
          <w:color w:val="auto"/>
          <w:sz w:val="21"/>
          <w:szCs w:val="21"/>
          <w:highlight w:val="none"/>
        </w:rPr>
        <w:t>报告</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以最快速度将中毒人员送往附近医院，或拨打急救中心电话请求救助，积极配合协助卫生机构救助病人。</w:t>
      </w:r>
    </w:p>
    <w:p w14:paraId="479560D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现场方面，需要采取紧急措施，保护好现场，封存一切剩余可疑食物及原料、工具、设备、保护好中毒现场和食品留样，无关人员不允许到操作间或留样处。未经允许，一切外来人员</w:t>
      </w:r>
      <w:r>
        <w:rPr>
          <w:rFonts w:hint="eastAsia" w:ascii="宋体" w:hAnsi="宋体" w:cs="宋体"/>
          <w:b w:val="0"/>
          <w:bCs w:val="0"/>
          <w:color w:val="auto"/>
          <w:sz w:val="21"/>
          <w:szCs w:val="21"/>
          <w:highlight w:val="none"/>
          <w:lang w:eastAsia="zh-CN"/>
        </w:rPr>
        <w:t>禁止进入操作区域</w:t>
      </w:r>
      <w:r>
        <w:rPr>
          <w:rFonts w:hint="eastAsia" w:ascii="宋体" w:hAnsi="宋体" w:eastAsia="宋体" w:cs="宋体"/>
          <w:b w:val="0"/>
          <w:bCs w:val="0"/>
          <w:color w:val="auto"/>
          <w:sz w:val="21"/>
          <w:szCs w:val="21"/>
          <w:highlight w:val="none"/>
        </w:rPr>
        <w:t>。防止人为的破坏现场，必须等候卫生部门处理后再酌情处理。</w:t>
      </w:r>
    </w:p>
    <w:p w14:paraId="56845F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（6）投标人</w:t>
      </w:r>
      <w:r>
        <w:rPr>
          <w:rFonts w:hint="eastAsia" w:ascii="宋体" w:hAnsi="宋体" w:eastAsia="宋体" w:cs="宋体"/>
          <w:b w:val="0"/>
          <w:bCs w:val="0"/>
          <w:color w:val="auto"/>
          <w:sz w:val="21"/>
          <w:szCs w:val="21"/>
          <w:highlight w:val="none"/>
        </w:rPr>
        <w:t>要做到：不购进、</w:t>
      </w:r>
      <w:r>
        <w:rPr>
          <w:rFonts w:hint="eastAsia" w:ascii="宋体" w:hAnsi="宋体" w:eastAsia="宋体" w:cs="宋体"/>
          <w:b w:val="0"/>
          <w:bCs w:val="0"/>
          <w:color w:val="auto"/>
          <w:sz w:val="21"/>
          <w:szCs w:val="21"/>
          <w:highlight w:val="none"/>
          <w:lang w:val="en-US" w:eastAsia="zh-CN"/>
        </w:rPr>
        <w:t>不替换、</w:t>
      </w:r>
      <w:r>
        <w:rPr>
          <w:rFonts w:hint="eastAsia" w:ascii="宋体" w:hAnsi="宋体" w:eastAsia="宋体" w:cs="宋体"/>
          <w:b w:val="0"/>
          <w:bCs w:val="0"/>
          <w:color w:val="auto"/>
          <w:sz w:val="21"/>
          <w:szCs w:val="21"/>
          <w:highlight w:val="none"/>
        </w:rPr>
        <w:t>不加工、不出售腐烂变质、有毒、有害、超越保质期的食物。</w:t>
      </w:r>
    </w:p>
    <w:p w14:paraId="1416ED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（7）投标人</w:t>
      </w:r>
      <w:r>
        <w:rPr>
          <w:rFonts w:hint="eastAsia" w:ascii="宋体" w:hAnsi="宋体" w:eastAsia="宋体" w:cs="宋体"/>
          <w:b w:val="0"/>
          <w:bCs w:val="0"/>
          <w:color w:val="auto"/>
          <w:sz w:val="21"/>
          <w:szCs w:val="21"/>
          <w:highlight w:val="none"/>
        </w:rPr>
        <w:t>需要及时处置好废物，废物桶有</w:t>
      </w:r>
      <w:r>
        <w:rPr>
          <w:rFonts w:hint="eastAsia" w:ascii="宋体" w:hAnsi="宋体" w:eastAsia="宋体" w:cs="宋体"/>
          <w:b w:val="0"/>
          <w:bCs w:val="0"/>
          <w:color w:val="auto"/>
          <w:sz w:val="21"/>
          <w:szCs w:val="21"/>
          <w:highlight w:val="none"/>
          <w:lang w:val="en-US" w:eastAsia="zh-CN"/>
        </w:rPr>
        <w:t>具体</w:t>
      </w:r>
      <w:r>
        <w:rPr>
          <w:rFonts w:hint="eastAsia" w:ascii="宋体" w:hAnsi="宋体" w:eastAsia="宋体" w:cs="宋体"/>
          <w:b w:val="0"/>
          <w:bCs w:val="0"/>
          <w:color w:val="auto"/>
          <w:sz w:val="21"/>
          <w:szCs w:val="21"/>
          <w:highlight w:val="none"/>
        </w:rPr>
        <w:t>标识、并加盖。</w:t>
      </w:r>
    </w:p>
    <w:p w14:paraId="635AD41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（8）投标人</w:t>
      </w:r>
      <w:r>
        <w:rPr>
          <w:rFonts w:hint="eastAsia" w:ascii="宋体" w:hAnsi="宋体" w:eastAsia="宋体" w:cs="宋体"/>
          <w:color w:val="auto"/>
          <w:sz w:val="21"/>
          <w:szCs w:val="21"/>
          <w:highlight w:val="none"/>
        </w:rPr>
        <w:t>需设立岗位责任制，所有日常用厨具、餐具每次使用过后都必须进行严格消毒，清洗</w:t>
      </w:r>
      <w:r>
        <w:rPr>
          <w:rFonts w:hint="eastAsia" w:ascii="宋体" w:hAnsi="宋体" w:eastAsia="宋体" w:cs="宋体"/>
          <w:color w:val="auto"/>
          <w:sz w:val="21"/>
          <w:szCs w:val="21"/>
          <w:highlight w:val="none"/>
          <w:lang w:val="en-US" w:eastAsia="zh-CN"/>
        </w:rPr>
        <w:t>干净并</w:t>
      </w:r>
      <w:r>
        <w:rPr>
          <w:rFonts w:hint="eastAsia" w:ascii="宋体" w:hAnsi="宋体" w:eastAsia="宋体" w:cs="宋体"/>
          <w:color w:val="auto"/>
          <w:sz w:val="21"/>
          <w:szCs w:val="21"/>
          <w:highlight w:val="none"/>
        </w:rPr>
        <w:t>在消毒后要加盖储存，防止再污染，未经消毒的厨具、餐具不得使用。</w:t>
      </w:r>
    </w:p>
    <w:p w14:paraId="4E47FC5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Cs w:val="21"/>
          <w:highlight w:val="none"/>
        </w:rPr>
        <w:t>投标人需清除卫生死角，做好灭四害工作，谨防污染。仓库物品要摆放整齐，保持室内空气流通，以防止物品发霉变质。</w:t>
      </w:r>
    </w:p>
    <w:p w14:paraId="403D910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（10）投标人</w:t>
      </w:r>
      <w:r>
        <w:rPr>
          <w:rFonts w:hint="eastAsia" w:ascii="宋体" w:hAnsi="宋体" w:eastAsia="宋体" w:cs="宋体"/>
          <w:color w:val="auto"/>
          <w:sz w:val="21"/>
          <w:szCs w:val="21"/>
          <w:highlight w:val="none"/>
        </w:rPr>
        <w:t>取得政府部门发放的营业执照</w:t>
      </w:r>
      <w:r>
        <w:rPr>
          <w:rFonts w:hint="eastAsia" w:ascii="宋体" w:hAnsi="宋体" w:cs="宋体"/>
          <w:color w:val="auto"/>
          <w:sz w:val="21"/>
          <w:szCs w:val="21"/>
          <w:highlight w:val="none"/>
          <w:lang w:eastAsia="zh-CN"/>
        </w:rPr>
        <w:t>等需</w:t>
      </w:r>
      <w:r>
        <w:rPr>
          <w:rFonts w:hint="eastAsia" w:ascii="宋体" w:hAnsi="宋体" w:eastAsia="宋体" w:cs="宋体"/>
          <w:color w:val="auto"/>
          <w:sz w:val="21"/>
          <w:szCs w:val="21"/>
          <w:highlight w:val="none"/>
        </w:rPr>
        <w:t>交给</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复印件</w:t>
      </w:r>
      <w:r>
        <w:rPr>
          <w:rFonts w:hint="eastAsia" w:ascii="宋体" w:hAnsi="宋体" w:eastAsia="宋体" w:cs="宋体"/>
          <w:color w:val="auto"/>
          <w:sz w:val="21"/>
          <w:szCs w:val="21"/>
          <w:highlight w:val="none"/>
          <w:lang w:val="en-US" w:eastAsia="zh-CN"/>
        </w:rPr>
        <w:t>备案</w:t>
      </w:r>
      <w:r>
        <w:rPr>
          <w:rFonts w:hint="eastAsia" w:ascii="宋体" w:hAnsi="宋体" w:eastAsia="宋体" w:cs="宋体"/>
          <w:color w:val="auto"/>
          <w:sz w:val="21"/>
          <w:szCs w:val="21"/>
          <w:highlight w:val="none"/>
        </w:rPr>
        <w:t>。</w:t>
      </w:r>
    </w:p>
    <w:p w14:paraId="5A37AB6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环境</w:t>
      </w:r>
      <w:r>
        <w:rPr>
          <w:rFonts w:hint="eastAsia" w:ascii="宋体" w:hAnsi="宋体" w:cs="宋体"/>
          <w:color w:val="auto"/>
          <w:sz w:val="21"/>
          <w:szCs w:val="21"/>
          <w:highlight w:val="none"/>
          <w:lang w:val="en-US" w:eastAsia="zh-CN"/>
        </w:rPr>
        <w:t>及消防</w:t>
      </w:r>
      <w:r>
        <w:rPr>
          <w:rFonts w:hint="eastAsia" w:ascii="宋体" w:hAnsi="宋体" w:eastAsia="宋体" w:cs="宋体"/>
          <w:color w:val="auto"/>
          <w:sz w:val="21"/>
          <w:szCs w:val="21"/>
          <w:highlight w:val="none"/>
        </w:rPr>
        <w:t>安全管理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包括但不限于以下内容</w:t>
      </w:r>
      <w:r>
        <w:rPr>
          <w:rFonts w:hint="eastAsia" w:ascii="宋体" w:hAnsi="宋体" w:eastAsia="宋体" w:cs="宋体"/>
          <w:b w:val="0"/>
          <w:bCs w:val="0"/>
          <w:color w:val="auto"/>
          <w:sz w:val="21"/>
          <w:szCs w:val="21"/>
          <w:highlight w:val="none"/>
          <w:lang w:eastAsia="zh-CN"/>
        </w:rPr>
        <w:t>）</w:t>
      </w:r>
    </w:p>
    <w:p w14:paraId="41DDB63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供水设施异常时，须及时</w:t>
      </w:r>
      <w:r>
        <w:rPr>
          <w:rFonts w:hint="eastAsia" w:ascii="宋体" w:hAnsi="宋体" w:cs="宋体"/>
          <w:color w:val="auto"/>
          <w:sz w:val="21"/>
          <w:szCs w:val="21"/>
          <w:highlight w:val="none"/>
          <w:lang w:val="en-US" w:eastAsia="zh-CN"/>
        </w:rPr>
        <w:t>报备</w:t>
      </w:r>
      <w:r>
        <w:rPr>
          <w:rFonts w:hint="eastAsia" w:ascii="宋体" w:hAnsi="宋体" w:eastAsia="宋体" w:cs="宋体"/>
          <w:color w:val="auto"/>
          <w:sz w:val="21"/>
          <w:szCs w:val="21"/>
          <w:highlight w:val="none"/>
        </w:rPr>
        <w:t>维修，做到节约用水，无长流水</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漫溢</w:t>
      </w:r>
      <w:r>
        <w:rPr>
          <w:rFonts w:hint="eastAsia" w:ascii="宋体" w:hAnsi="宋体" w:eastAsia="宋体" w:cs="宋体"/>
          <w:color w:val="auto"/>
          <w:sz w:val="21"/>
          <w:szCs w:val="21"/>
          <w:highlight w:val="none"/>
        </w:rPr>
        <w:t>现象。</w:t>
      </w:r>
    </w:p>
    <w:p w14:paraId="30973A3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（2）投标人</w:t>
      </w:r>
      <w:r>
        <w:rPr>
          <w:rFonts w:hint="eastAsia" w:ascii="宋体" w:hAnsi="宋体" w:eastAsia="宋体" w:cs="宋体"/>
          <w:color w:val="auto"/>
          <w:sz w:val="21"/>
          <w:szCs w:val="21"/>
          <w:highlight w:val="none"/>
        </w:rPr>
        <w:t>应做好日常安全用电工作，对员工定期开展安全用电培训，每日应派专人负责电力开关，保证每日工作完毕后</w:t>
      </w:r>
      <w:r>
        <w:rPr>
          <w:rFonts w:hint="eastAsia" w:ascii="宋体" w:hAnsi="宋体" w:cs="宋体"/>
          <w:color w:val="auto"/>
          <w:sz w:val="21"/>
          <w:szCs w:val="21"/>
          <w:highlight w:val="none"/>
          <w:lang w:val="en-US" w:eastAsia="zh-CN"/>
        </w:rPr>
        <w:t>非必要常开的</w:t>
      </w:r>
      <w:r>
        <w:rPr>
          <w:rFonts w:hint="eastAsia" w:ascii="宋体" w:hAnsi="宋体" w:eastAsia="宋体" w:cs="宋体"/>
          <w:color w:val="auto"/>
          <w:sz w:val="21"/>
          <w:szCs w:val="21"/>
          <w:highlight w:val="none"/>
        </w:rPr>
        <w:t>电器设备及电路开关的关闭。此外</w:t>
      </w:r>
      <w:r>
        <w:rPr>
          <w:rFonts w:hint="eastAsia" w:ascii="宋体" w:hAnsi="宋体" w:eastAsia="宋体" w:cs="宋体"/>
          <w:b w:val="0"/>
          <w:bCs w:val="0"/>
          <w:color w:val="auto"/>
          <w:sz w:val="21"/>
          <w:szCs w:val="21"/>
          <w:highlight w:val="none"/>
          <w:lang w:val="en-US" w:eastAsia="zh-CN"/>
        </w:rPr>
        <w:t>投标人自备的</w:t>
      </w:r>
      <w:r>
        <w:rPr>
          <w:rFonts w:hint="eastAsia" w:ascii="宋体" w:hAnsi="宋体" w:eastAsia="宋体" w:cs="宋体"/>
          <w:color w:val="auto"/>
          <w:sz w:val="21"/>
          <w:szCs w:val="21"/>
          <w:highlight w:val="none"/>
        </w:rPr>
        <w:t>所有用水、电、气的设备、设施，以及其他有可能对人或财产造成危害的设备，在投入使用前，须向</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提出申请。待</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确定电路负载是否无问题、以及相关设备不会造成危害后方可</w:t>
      </w:r>
      <w:r>
        <w:rPr>
          <w:rFonts w:hint="eastAsia" w:ascii="宋体" w:hAnsi="宋体" w:cs="宋体"/>
          <w:color w:val="auto"/>
          <w:sz w:val="21"/>
          <w:szCs w:val="21"/>
          <w:highlight w:val="none"/>
          <w:lang w:val="en-US" w:eastAsia="zh-CN"/>
        </w:rPr>
        <w:t>投入（安装）</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投入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安装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完成，再由</w:t>
      </w:r>
      <w:r>
        <w:rPr>
          <w:rFonts w:hint="eastAsia" w:ascii="宋体" w:hAnsi="宋体" w:eastAsia="宋体" w:cs="宋体"/>
          <w:color w:val="auto"/>
          <w:sz w:val="21"/>
          <w:szCs w:val="21"/>
          <w:highlight w:val="none"/>
          <w:lang w:val="en-US" w:eastAsia="zh-CN"/>
        </w:rPr>
        <w:t>采购人确认许可</w:t>
      </w:r>
      <w:r>
        <w:rPr>
          <w:rFonts w:hint="eastAsia" w:ascii="宋体" w:hAnsi="宋体" w:eastAsia="宋体" w:cs="宋体"/>
          <w:color w:val="auto"/>
          <w:sz w:val="21"/>
          <w:szCs w:val="21"/>
          <w:highlight w:val="none"/>
        </w:rPr>
        <w:t>后，方可</w:t>
      </w:r>
      <w:r>
        <w:rPr>
          <w:rFonts w:hint="eastAsia" w:ascii="宋体" w:hAnsi="宋体" w:cs="宋体"/>
          <w:color w:val="auto"/>
          <w:sz w:val="21"/>
          <w:szCs w:val="21"/>
          <w:highlight w:val="none"/>
          <w:lang w:val="en-US" w:eastAsia="zh-CN"/>
        </w:rPr>
        <w:t>开启</w:t>
      </w:r>
      <w:r>
        <w:rPr>
          <w:rFonts w:hint="eastAsia" w:ascii="宋体" w:hAnsi="宋体" w:eastAsia="宋体" w:cs="宋体"/>
          <w:color w:val="auto"/>
          <w:sz w:val="21"/>
          <w:szCs w:val="21"/>
          <w:highlight w:val="none"/>
        </w:rPr>
        <w:t>使用。对于</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所提供的电力基础设施，</w:t>
      </w: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color w:val="auto"/>
          <w:sz w:val="21"/>
          <w:szCs w:val="21"/>
          <w:highlight w:val="none"/>
        </w:rPr>
        <w:t>有义务配合</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进行维护，如发现设施损坏应及时向</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告知。如出现因</w:t>
      </w: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color w:val="auto"/>
          <w:sz w:val="21"/>
          <w:szCs w:val="21"/>
          <w:highlight w:val="none"/>
        </w:rPr>
        <w:t>用电不当或工作疏忽</w:t>
      </w:r>
      <w:r>
        <w:rPr>
          <w:rFonts w:hint="eastAsia" w:ascii="宋体" w:hAnsi="宋体" w:eastAsia="宋体" w:cs="宋体"/>
          <w:color w:val="auto"/>
          <w:sz w:val="21"/>
          <w:szCs w:val="21"/>
          <w:highlight w:val="none"/>
          <w:lang w:val="en-US" w:eastAsia="zh-CN"/>
        </w:rPr>
        <w:t>等</w:t>
      </w:r>
      <w:r>
        <w:rPr>
          <w:rFonts w:hint="eastAsia" w:ascii="宋体" w:hAnsi="宋体" w:eastAsia="宋体" w:cs="宋体"/>
          <w:b w:val="0"/>
          <w:bCs w:val="0"/>
          <w:color w:val="auto"/>
          <w:sz w:val="21"/>
          <w:szCs w:val="21"/>
          <w:highlight w:val="none"/>
          <w:lang w:val="en-US" w:eastAsia="zh-CN"/>
        </w:rPr>
        <w:t>投标人原因</w:t>
      </w:r>
      <w:r>
        <w:rPr>
          <w:rFonts w:hint="eastAsia" w:ascii="宋体" w:hAnsi="宋体" w:eastAsia="宋体" w:cs="宋体"/>
          <w:color w:val="auto"/>
          <w:sz w:val="21"/>
          <w:szCs w:val="21"/>
          <w:highlight w:val="none"/>
        </w:rPr>
        <w:t>而造成的电气火灾，</w:t>
      </w: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color w:val="auto"/>
          <w:sz w:val="21"/>
          <w:szCs w:val="21"/>
          <w:highlight w:val="none"/>
        </w:rPr>
        <w:t>应承担全部责任。</w:t>
      </w:r>
    </w:p>
    <w:p w14:paraId="4280D80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投标人应做好日常用火、防火工作，每日在炊事设备点火前应对设备进行详细的检查，确定设备部件状态正常后方可点火；投标人应配备足够的消防设施，定期进行员工消防知识培训和开展消防演练，对于由于投标人防火工作不到位而造成的火灾，所带来的损失全部由投标人承担。</w:t>
      </w:r>
    </w:p>
    <w:p w14:paraId="5E93E68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）投标人</w:t>
      </w:r>
      <w:r>
        <w:rPr>
          <w:rFonts w:hint="eastAsia" w:ascii="宋体" w:hAnsi="宋体" w:cs="宋体"/>
          <w:b w:val="0"/>
          <w:bCs w:val="0"/>
          <w:color w:val="auto"/>
          <w:sz w:val="21"/>
          <w:szCs w:val="21"/>
          <w:highlight w:val="none"/>
          <w:lang w:val="en-US" w:eastAsia="zh-CN"/>
        </w:rPr>
        <w:t>非正常餐饮服务及管理期间</w:t>
      </w:r>
      <w:r>
        <w:rPr>
          <w:rFonts w:hint="eastAsia" w:ascii="宋体" w:hAnsi="宋体" w:eastAsia="宋体" w:cs="宋体"/>
          <w:color w:val="auto"/>
          <w:sz w:val="21"/>
          <w:szCs w:val="21"/>
          <w:highlight w:val="none"/>
        </w:rPr>
        <w:t>需要临时用电、动火、高空、用水、用气作业的，</w:t>
      </w:r>
      <w:r>
        <w:rPr>
          <w:rFonts w:hint="eastAsia" w:ascii="宋体" w:hAnsi="宋体" w:cs="宋体"/>
          <w:color w:val="auto"/>
          <w:sz w:val="21"/>
          <w:szCs w:val="21"/>
          <w:highlight w:val="none"/>
          <w:lang w:val="en-US" w:eastAsia="zh-CN"/>
        </w:rPr>
        <w:t>必须</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提交申请，批准后方可作业，</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rPr>
        <w:t>必须配备相应的安全防护措施，现场设立专项管理责任人，并做好日常安全管理工作，</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有权监督管理。</w:t>
      </w:r>
    </w:p>
    <w:p w14:paraId="7DD0D5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）投标人如</w:t>
      </w:r>
      <w:r>
        <w:rPr>
          <w:rFonts w:hint="eastAsia" w:ascii="宋体" w:hAnsi="宋体" w:cs="宋体"/>
          <w:b w:val="0"/>
          <w:bCs w:val="0"/>
          <w:color w:val="auto"/>
          <w:sz w:val="21"/>
          <w:szCs w:val="21"/>
          <w:highlight w:val="none"/>
          <w:lang w:val="en-US" w:eastAsia="zh-CN"/>
        </w:rPr>
        <w:t>涉及自行</w:t>
      </w:r>
      <w:r>
        <w:rPr>
          <w:rFonts w:hint="eastAsia" w:ascii="宋体" w:hAnsi="宋体" w:eastAsia="宋体" w:cs="宋体"/>
          <w:color w:val="auto"/>
          <w:sz w:val="21"/>
          <w:szCs w:val="21"/>
          <w:highlight w:val="none"/>
        </w:rPr>
        <w:t>燃料</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易燃易爆品</w:t>
      </w:r>
      <w:r>
        <w:rPr>
          <w:rFonts w:hint="eastAsia" w:ascii="宋体" w:hAnsi="宋体" w:eastAsia="宋体" w:cs="宋体"/>
          <w:color w:val="auto"/>
          <w:sz w:val="21"/>
          <w:szCs w:val="21"/>
          <w:highlight w:val="none"/>
        </w:rPr>
        <w:t>的购买、使用、保存环节，均应做好安全防火工作，对于由于</w:t>
      </w: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color w:val="auto"/>
          <w:sz w:val="21"/>
          <w:szCs w:val="21"/>
          <w:highlight w:val="none"/>
        </w:rPr>
        <w:t>工作疏忽而造成的安全事故</w:t>
      </w: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color w:val="auto"/>
          <w:sz w:val="21"/>
          <w:szCs w:val="21"/>
          <w:highlight w:val="none"/>
        </w:rPr>
        <w:t>应承担一切责任。</w:t>
      </w:r>
    </w:p>
    <w:p w14:paraId="6C8DB6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color w:val="auto"/>
          <w:sz w:val="21"/>
          <w:szCs w:val="21"/>
          <w:highlight w:val="none"/>
        </w:rPr>
        <w:t>应对所使用的</w:t>
      </w:r>
      <w:r>
        <w:rPr>
          <w:rFonts w:hint="eastAsia" w:ascii="宋体" w:hAnsi="宋体" w:cs="宋体"/>
          <w:color w:val="auto"/>
          <w:sz w:val="21"/>
          <w:szCs w:val="21"/>
          <w:highlight w:val="none"/>
          <w:lang w:val="en-US" w:eastAsia="zh-CN"/>
        </w:rPr>
        <w:t>炊事设备、燃气管道</w:t>
      </w:r>
      <w:r>
        <w:rPr>
          <w:rFonts w:hint="eastAsia" w:ascii="宋体" w:hAnsi="宋体" w:eastAsia="宋体" w:cs="宋体"/>
          <w:color w:val="auto"/>
          <w:sz w:val="21"/>
          <w:szCs w:val="21"/>
          <w:highlight w:val="none"/>
        </w:rPr>
        <w:t>等相应设备、部件等按照国家的相关规定加强安全</w:t>
      </w:r>
      <w:r>
        <w:rPr>
          <w:rFonts w:hint="eastAsia" w:ascii="宋体" w:hAnsi="宋体" w:cs="宋体"/>
          <w:color w:val="auto"/>
          <w:sz w:val="21"/>
          <w:szCs w:val="21"/>
          <w:highlight w:val="none"/>
          <w:lang w:val="en-US" w:eastAsia="zh-CN"/>
        </w:rPr>
        <w:t>检查及</w:t>
      </w:r>
      <w:r>
        <w:rPr>
          <w:rFonts w:hint="eastAsia" w:ascii="宋体" w:hAnsi="宋体" w:eastAsia="宋体" w:cs="宋体"/>
          <w:color w:val="auto"/>
          <w:sz w:val="21"/>
          <w:szCs w:val="21"/>
          <w:highlight w:val="none"/>
        </w:rPr>
        <w:t>管理。</w:t>
      </w:r>
      <w:r>
        <w:rPr>
          <w:rFonts w:hint="eastAsia" w:ascii="宋体" w:hAnsi="宋体" w:cs="宋体"/>
          <w:color w:val="auto"/>
          <w:sz w:val="21"/>
          <w:szCs w:val="21"/>
          <w:highlight w:val="none"/>
          <w:lang w:val="en-US" w:eastAsia="zh-CN"/>
        </w:rPr>
        <w:t>如发现存在安全隐患，应及时向采购人报备处置</w:t>
      </w:r>
      <w:r>
        <w:rPr>
          <w:rFonts w:hint="eastAsia" w:ascii="宋体" w:hAnsi="宋体" w:eastAsia="宋体" w:cs="宋体"/>
          <w:color w:val="auto"/>
          <w:sz w:val="21"/>
          <w:szCs w:val="21"/>
          <w:highlight w:val="none"/>
        </w:rPr>
        <w:t>。</w:t>
      </w:r>
    </w:p>
    <w:p w14:paraId="2810FF2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）投标人</w:t>
      </w:r>
      <w:r>
        <w:rPr>
          <w:rFonts w:hint="eastAsia" w:ascii="宋体" w:hAnsi="宋体" w:eastAsia="宋体" w:cs="宋体"/>
          <w:color w:val="auto"/>
          <w:sz w:val="21"/>
          <w:szCs w:val="21"/>
          <w:highlight w:val="none"/>
        </w:rPr>
        <w:t>应安排专人对燃料系统进行防火巡查，每日操作结束后应有专人关闭火源阀门及气源阀门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做好防火措施。</w:t>
      </w:r>
    </w:p>
    <w:p w14:paraId="636435E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w w:val="100"/>
          <w:sz w:val="21"/>
          <w:szCs w:val="21"/>
          <w:highlight w:val="none"/>
          <w:lang w:val="en-US" w:eastAsia="zh-CN"/>
        </w:rPr>
      </w:pPr>
      <w:r>
        <w:rPr>
          <w:rFonts w:hint="eastAsia" w:ascii="宋体" w:hAnsi="宋体" w:cs="宋体"/>
          <w:color w:val="auto"/>
          <w:w w:val="100"/>
          <w:sz w:val="21"/>
          <w:szCs w:val="21"/>
          <w:highlight w:val="none"/>
          <w:lang w:val="en-US" w:eastAsia="zh-CN"/>
        </w:rPr>
        <w:t>4</w:t>
      </w:r>
      <w:r>
        <w:rPr>
          <w:rFonts w:hint="eastAsia" w:ascii="宋体" w:hAnsi="宋体" w:eastAsia="宋体" w:cs="宋体"/>
          <w:color w:val="auto"/>
          <w:w w:val="100"/>
          <w:sz w:val="21"/>
          <w:szCs w:val="21"/>
          <w:highlight w:val="none"/>
          <w:lang w:val="en-US" w:eastAsia="zh-CN"/>
        </w:rPr>
        <w:t>.</w:t>
      </w:r>
      <w:r>
        <w:rPr>
          <w:rFonts w:hint="eastAsia" w:ascii="宋体" w:hAnsi="宋体" w:eastAsia="宋体" w:cs="宋体"/>
          <w:color w:val="auto"/>
          <w:w w:val="100"/>
          <w:sz w:val="21"/>
          <w:szCs w:val="21"/>
          <w:highlight w:val="none"/>
        </w:rPr>
        <w:t>交通安全</w:t>
      </w:r>
      <w:r>
        <w:rPr>
          <w:rFonts w:hint="eastAsia" w:ascii="宋体" w:hAnsi="宋体" w:eastAsia="宋体" w:cs="宋体"/>
          <w:b w:val="0"/>
          <w:bCs w:val="0"/>
          <w:color w:val="auto"/>
          <w:w w:val="100"/>
          <w:sz w:val="21"/>
          <w:szCs w:val="21"/>
          <w:highlight w:val="none"/>
          <w:lang w:eastAsia="zh-CN"/>
        </w:rPr>
        <w:t>（</w:t>
      </w:r>
      <w:r>
        <w:rPr>
          <w:rFonts w:hint="eastAsia" w:ascii="宋体" w:hAnsi="宋体" w:eastAsia="宋体" w:cs="宋体"/>
          <w:b w:val="0"/>
          <w:bCs w:val="0"/>
          <w:color w:val="auto"/>
          <w:w w:val="100"/>
          <w:sz w:val="21"/>
          <w:szCs w:val="21"/>
          <w:highlight w:val="none"/>
          <w:lang w:val="en-US" w:eastAsia="zh-CN"/>
        </w:rPr>
        <w:t>包括但不限于以下内容</w:t>
      </w:r>
      <w:r>
        <w:rPr>
          <w:rFonts w:hint="eastAsia" w:ascii="宋体" w:hAnsi="宋体" w:eastAsia="宋体" w:cs="宋体"/>
          <w:b w:val="0"/>
          <w:bCs w:val="0"/>
          <w:color w:val="auto"/>
          <w:w w:val="100"/>
          <w:sz w:val="21"/>
          <w:szCs w:val="21"/>
          <w:highlight w:val="none"/>
          <w:lang w:eastAsia="zh-CN"/>
        </w:rPr>
        <w:t>）</w:t>
      </w:r>
    </w:p>
    <w:p w14:paraId="5D65E7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color w:val="auto"/>
          <w:w w:val="100"/>
          <w:sz w:val="21"/>
          <w:szCs w:val="21"/>
          <w:highlight w:val="none"/>
          <w:lang w:val="en-US" w:eastAsia="zh-CN"/>
        </w:rPr>
        <w:t>投标人</w:t>
      </w:r>
      <w:r>
        <w:rPr>
          <w:rFonts w:hint="eastAsia" w:ascii="宋体" w:hAnsi="宋体" w:eastAsia="宋体" w:cs="宋体"/>
          <w:color w:val="auto"/>
          <w:w w:val="100"/>
          <w:sz w:val="21"/>
          <w:szCs w:val="21"/>
          <w:highlight w:val="none"/>
        </w:rPr>
        <w:t>车辆进入</w:t>
      </w:r>
      <w:r>
        <w:rPr>
          <w:rFonts w:hint="eastAsia" w:ascii="宋体" w:hAnsi="宋体" w:eastAsia="宋体" w:cs="宋体"/>
          <w:color w:val="auto"/>
          <w:w w:val="100"/>
          <w:sz w:val="21"/>
          <w:szCs w:val="21"/>
          <w:highlight w:val="none"/>
          <w:lang w:val="en-US" w:eastAsia="zh-CN"/>
        </w:rPr>
        <w:t>采购人</w:t>
      </w:r>
      <w:r>
        <w:rPr>
          <w:rFonts w:hint="eastAsia" w:ascii="宋体" w:hAnsi="宋体" w:eastAsia="宋体" w:cs="宋体"/>
          <w:color w:val="auto"/>
          <w:w w:val="100"/>
          <w:sz w:val="21"/>
          <w:szCs w:val="21"/>
          <w:highlight w:val="none"/>
        </w:rPr>
        <w:t>区域时，行车速度</w:t>
      </w:r>
      <w:r>
        <w:rPr>
          <w:rFonts w:hint="eastAsia" w:ascii="宋体" w:hAnsi="宋体" w:cs="宋体"/>
          <w:color w:val="auto"/>
          <w:w w:val="100"/>
          <w:sz w:val="21"/>
          <w:szCs w:val="21"/>
          <w:highlight w:val="none"/>
          <w:lang w:val="en-US" w:eastAsia="zh-CN"/>
        </w:rPr>
        <w:t>控制在5-</w:t>
      </w:r>
      <w:r>
        <w:rPr>
          <w:rFonts w:hint="eastAsia" w:ascii="宋体" w:hAnsi="宋体" w:eastAsia="宋体" w:cs="宋体"/>
          <w:color w:val="auto"/>
          <w:w w:val="100"/>
          <w:sz w:val="21"/>
          <w:szCs w:val="21"/>
          <w:highlight w:val="none"/>
        </w:rPr>
        <w:t>10公里/小时。车辆应在指定的</w:t>
      </w:r>
      <w:r>
        <w:rPr>
          <w:rFonts w:hint="eastAsia" w:ascii="宋体" w:hAnsi="宋体" w:eastAsia="宋体" w:cs="宋体"/>
          <w:color w:val="auto"/>
          <w:w w:val="100"/>
          <w:sz w:val="21"/>
          <w:szCs w:val="21"/>
          <w:highlight w:val="none"/>
          <w:lang w:val="en-US" w:eastAsia="zh-CN"/>
        </w:rPr>
        <w:t>道路</w:t>
      </w:r>
      <w:r>
        <w:rPr>
          <w:rFonts w:hint="eastAsia" w:ascii="宋体" w:hAnsi="宋体" w:eastAsia="宋体" w:cs="宋体"/>
          <w:color w:val="auto"/>
          <w:w w:val="100"/>
          <w:sz w:val="21"/>
          <w:szCs w:val="21"/>
          <w:highlight w:val="none"/>
        </w:rPr>
        <w:t>上行驶，不得超载、超高、超长、超宽运输，严禁与生产系统设备管道接触。同时，不得损坏或搬动所有交通标志和安全设施，遇到不得不挪动的情况时，需要与</w:t>
      </w:r>
      <w:r>
        <w:rPr>
          <w:rFonts w:hint="eastAsia" w:ascii="宋体" w:hAnsi="宋体" w:eastAsia="宋体" w:cs="宋体"/>
          <w:color w:val="auto"/>
          <w:w w:val="100"/>
          <w:sz w:val="21"/>
          <w:szCs w:val="21"/>
          <w:highlight w:val="none"/>
          <w:lang w:val="en-US" w:eastAsia="zh-CN"/>
        </w:rPr>
        <w:t>采购人</w:t>
      </w:r>
      <w:r>
        <w:rPr>
          <w:rFonts w:hint="eastAsia" w:ascii="宋体" w:hAnsi="宋体" w:eastAsia="宋体" w:cs="宋体"/>
          <w:color w:val="auto"/>
          <w:w w:val="100"/>
          <w:sz w:val="21"/>
          <w:szCs w:val="21"/>
          <w:highlight w:val="none"/>
        </w:rPr>
        <w:t>协商，审批成功，方可挪动</w:t>
      </w:r>
      <w:r>
        <w:rPr>
          <w:rFonts w:hint="eastAsia" w:ascii="宋体" w:hAnsi="宋体" w:eastAsia="宋体" w:cs="宋体"/>
          <w:color w:val="auto"/>
          <w:w w:val="100"/>
          <w:sz w:val="21"/>
          <w:szCs w:val="21"/>
          <w:highlight w:val="none"/>
          <w:lang w:eastAsia="zh-CN"/>
        </w:rPr>
        <w:t>。</w:t>
      </w:r>
      <w:r>
        <w:rPr>
          <w:rFonts w:hint="eastAsia" w:ascii="宋体" w:hAnsi="宋体" w:eastAsia="宋体" w:cs="宋体"/>
          <w:color w:val="auto"/>
          <w:w w:val="100"/>
          <w:sz w:val="21"/>
          <w:szCs w:val="21"/>
          <w:highlight w:val="none"/>
          <w:lang w:val="en-US" w:eastAsia="zh-CN"/>
        </w:rPr>
        <w:t>投标人在区域内发生的任何交通事故均由投标人承担全部责任。</w:t>
      </w:r>
    </w:p>
    <w:p w14:paraId="6843F6EF">
      <w:pPr>
        <w:keepNext w:val="0"/>
        <w:keepLines w:val="0"/>
        <w:pageBreakBefore w:val="0"/>
        <w:widowControl w:val="0"/>
        <w:shd w:val="clear"/>
        <w:kinsoku/>
        <w:wordWrap/>
        <w:overflowPunct/>
        <w:topLinePunct/>
        <w:autoSpaceDE/>
        <w:autoSpaceDN/>
        <w:bidi w:val="0"/>
        <w:adjustRightInd w:val="0"/>
        <w:snapToGrid w:val="0"/>
        <w:spacing w:line="360" w:lineRule="auto"/>
        <w:contextualSpacing/>
        <w:textAlignment w:val="auto"/>
        <w:outlineLvl w:val="1"/>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（七）考核要求</w:t>
      </w:r>
    </w:p>
    <w:p w14:paraId="591D21E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1.考核办法</w:t>
      </w:r>
    </w:p>
    <w:p w14:paraId="78C1A01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采购人根据标准化工作要求，按常州市钟楼区机关事务管理中心社会化服务考核办法及相关服务标准、考核细则（详见合同附件）对投标人进行考核管理。</w:t>
      </w:r>
    </w:p>
    <w:p w14:paraId="1114B56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2.考核内容</w:t>
      </w:r>
    </w:p>
    <w:p w14:paraId="6B5ED4D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采购人将采购文件规定的服务内容、服务要求和服务标准，对投标人的制度建设、质量管理、服务规范、合同执行、资料管理等进行日常考核和月度考核。服务质量考核每月汇总，合格基准分为90分，考核结果低于基准分，每低于基准分1分，从当月应付服务费中扣减1000元，如果考核结果低于80分，采购人有权终止和投标人的合同。</w:t>
      </w:r>
    </w:p>
    <w:p w14:paraId="1E48C80E">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14:paraId="7C1EC65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eastAsia="宋体" w:cs="宋体"/>
          <w:b/>
          <w:color w:val="auto"/>
          <w:sz w:val="36"/>
          <w:szCs w:val="36"/>
          <w:highlight w:val="none"/>
        </w:rPr>
      </w:pPr>
      <w:bookmarkStart w:id="7" w:name="_Toc3248"/>
      <w:r>
        <w:rPr>
          <w:rFonts w:hint="eastAsia" w:ascii="宋体" w:hAnsi="宋体" w:eastAsia="宋体" w:cs="宋体"/>
          <w:b/>
          <w:color w:val="auto"/>
          <w:sz w:val="32"/>
          <w:szCs w:val="32"/>
          <w:highlight w:val="none"/>
          <w:lang w:val="en-US" w:eastAsia="zh-CN"/>
        </w:rPr>
        <w:t xml:space="preserve">第六章  </w:t>
      </w:r>
      <w:r>
        <w:rPr>
          <w:rFonts w:hint="eastAsia" w:ascii="宋体" w:hAnsi="宋体" w:eastAsia="宋体" w:cs="宋体"/>
          <w:b/>
          <w:color w:val="auto"/>
          <w:sz w:val="32"/>
          <w:szCs w:val="32"/>
          <w:highlight w:val="none"/>
        </w:rPr>
        <w:t>拟签订的合同文本</w:t>
      </w:r>
      <w:bookmarkEnd w:id="7"/>
    </w:p>
    <w:p w14:paraId="691406F9">
      <w:pPr>
        <w:keepNext w:val="0"/>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（合同编号：                   ）</w:t>
      </w:r>
    </w:p>
    <w:p w14:paraId="3A289EBB">
      <w:pPr>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委托单位（甲方）：</w:t>
      </w:r>
    </w:p>
    <w:p w14:paraId="2C1DE69E">
      <w:pPr>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受托单位（乙方）：</w:t>
      </w:r>
    </w:p>
    <w:p w14:paraId="062C2E0C">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根据</w:t>
      </w:r>
      <w:r>
        <w:rPr>
          <w:rFonts w:hint="eastAsia" w:hAnsi="宋体" w:cs="宋体"/>
          <w:color w:val="auto"/>
          <w:szCs w:val="21"/>
          <w:highlight w:val="none"/>
          <w:u w:val="single"/>
          <w:lang w:eastAsia="zh-CN"/>
        </w:rPr>
        <w:t>常州市钟楼区行政中心机关食堂餐饮服务及管理项目</w:t>
      </w:r>
      <w:r>
        <w:rPr>
          <w:rFonts w:hint="eastAsia" w:hAnsi="宋体" w:cs="宋体"/>
          <w:color w:val="auto"/>
          <w:szCs w:val="21"/>
          <w:highlight w:val="none"/>
        </w:rPr>
        <w:t>的采购结果，按照《中华人民共和国政府采购法》《中华人民共和国民法典》及采购文件的要求，经双方协商，本着平等互利和诚实信用的原则，一致同意签订本合同如下。</w:t>
      </w:r>
    </w:p>
    <w:p w14:paraId="0D411619">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b/>
          <w:bCs/>
          <w:color w:val="auto"/>
          <w:szCs w:val="21"/>
          <w:highlight w:val="none"/>
        </w:rPr>
      </w:pPr>
      <w:r>
        <w:rPr>
          <w:rFonts w:hint="eastAsia" w:hAnsi="宋体" w:cs="宋体"/>
          <w:b/>
          <w:bCs/>
          <w:color w:val="auto"/>
          <w:szCs w:val="21"/>
          <w:highlight w:val="none"/>
          <w:lang w:val="en-US" w:eastAsia="zh-CN"/>
        </w:rPr>
        <w:t>一、</w:t>
      </w:r>
      <w:r>
        <w:rPr>
          <w:rFonts w:hint="eastAsia" w:ascii="宋体" w:hAnsi="宋体" w:eastAsia="宋体" w:cs="宋体"/>
          <w:b/>
          <w:bCs/>
          <w:color w:val="auto"/>
          <w:szCs w:val="21"/>
          <w:highlight w:val="none"/>
        </w:rPr>
        <w:t>项目概况</w:t>
      </w:r>
    </w:p>
    <w:p w14:paraId="2235A86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项目名称：</w:t>
      </w:r>
    </w:p>
    <w:p w14:paraId="29FC8FF7">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.项目概要：</w:t>
      </w:r>
    </w:p>
    <w:p w14:paraId="6B410913">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.项目地点</w:t>
      </w:r>
      <w:r>
        <w:rPr>
          <w:rFonts w:hint="eastAsia" w:ascii="宋体" w:hAnsi="宋体" w:eastAsia="宋体" w:cs="宋体"/>
          <w:color w:val="auto"/>
          <w:szCs w:val="21"/>
          <w:highlight w:val="none"/>
        </w:rPr>
        <w:t>：</w:t>
      </w:r>
    </w:p>
    <w:p w14:paraId="61463079">
      <w:pPr>
        <w:pStyle w:val="11"/>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hAnsi="宋体" w:eastAsia="宋体" w:cs="宋体"/>
          <w:b/>
          <w:bCs/>
          <w:color w:val="auto"/>
          <w:szCs w:val="21"/>
          <w:highlight w:val="none"/>
          <w:lang w:eastAsia="zh-CN"/>
        </w:rPr>
      </w:pPr>
      <w:r>
        <w:rPr>
          <w:rFonts w:hint="eastAsia" w:hAnsi="宋体" w:cs="宋体"/>
          <w:b/>
          <w:bCs/>
          <w:color w:val="auto"/>
          <w:szCs w:val="21"/>
          <w:highlight w:val="none"/>
          <w:lang w:val="en-US" w:eastAsia="zh-CN"/>
        </w:rPr>
        <w:t>二、项目价格、合同价格</w:t>
      </w:r>
      <w:r>
        <w:rPr>
          <w:rFonts w:hint="eastAsia" w:hAnsi="宋体" w:cs="宋体"/>
          <w:b/>
          <w:bCs/>
          <w:color w:val="auto"/>
          <w:szCs w:val="21"/>
          <w:highlight w:val="none"/>
        </w:rPr>
        <w:t>及付款</w:t>
      </w:r>
      <w:r>
        <w:rPr>
          <w:rFonts w:hint="eastAsia" w:hAnsi="宋体" w:cs="宋体"/>
          <w:b/>
          <w:bCs/>
          <w:color w:val="auto"/>
          <w:szCs w:val="21"/>
          <w:highlight w:val="none"/>
          <w:lang w:val="en-US" w:eastAsia="zh-CN"/>
        </w:rPr>
        <w:t>条件</w:t>
      </w:r>
    </w:p>
    <w:p w14:paraId="6EBAE8A2">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eastAsia="宋体" w:cs="宋体"/>
          <w:color w:val="auto"/>
          <w:szCs w:val="21"/>
          <w:highlight w:val="none"/>
          <w:lang w:eastAsia="zh-CN"/>
        </w:rPr>
      </w:pPr>
      <w:r>
        <w:rPr>
          <w:rFonts w:hint="eastAsia" w:hAnsi="宋体" w:cs="宋体"/>
          <w:color w:val="auto"/>
          <w:szCs w:val="21"/>
          <w:highlight w:val="none"/>
          <w:lang w:val="en-US" w:eastAsia="zh-CN"/>
        </w:rPr>
        <w:t>1.项目价格、</w:t>
      </w:r>
      <w:r>
        <w:rPr>
          <w:rFonts w:hint="eastAsia" w:hAnsi="宋体" w:cs="宋体"/>
          <w:color w:val="auto"/>
          <w:szCs w:val="21"/>
          <w:highlight w:val="none"/>
        </w:rPr>
        <w:t>合同</w:t>
      </w:r>
      <w:r>
        <w:rPr>
          <w:rFonts w:hint="eastAsia" w:hAnsi="宋体" w:cs="宋体"/>
          <w:color w:val="auto"/>
          <w:szCs w:val="21"/>
          <w:highlight w:val="none"/>
          <w:lang w:val="en-US" w:eastAsia="zh-CN"/>
        </w:rPr>
        <w:t>价格（详见附件2：项目价格及合同价格表）</w:t>
      </w:r>
    </w:p>
    <w:p w14:paraId="75F158FE">
      <w:pPr>
        <w:pStyle w:val="36"/>
        <w:keepNext w:val="0"/>
        <w:keepLines w:val="0"/>
        <w:pageBreakBefore w:val="0"/>
        <w:widowControl w:val="0"/>
        <w:kinsoku/>
        <w:wordWrap/>
        <w:overflowPunct/>
        <w:topLinePunct/>
        <w:autoSpaceDE/>
        <w:autoSpaceDN/>
        <w:bidi w:val="0"/>
        <w:adjustRightInd w:val="0"/>
        <w:snapToGrid w:val="0"/>
        <w:spacing w:line="360" w:lineRule="auto"/>
        <w:ind w:left="0" w:firstLine="420" w:firstLineChars="200"/>
        <w:jc w:val="left"/>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（1）签约项目价格：</w:t>
      </w:r>
      <w:r>
        <w:rPr>
          <w:rFonts w:hint="eastAsia" w:ascii="宋体" w:hAnsi="宋体" w:cs="宋体"/>
          <w:color w:val="auto"/>
          <w:szCs w:val="21"/>
          <w:highlight w:val="none"/>
          <w:u w:val="single"/>
          <w:lang w:val="en-US" w:eastAsia="zh-CN"/>
        </w:rPr>
        <w:t>人民币                 元/三年（¥          /3年）</w:t>
      </w:r>
      <w:r>
        <w:rPr>
          <w:rFonts w:hint="eastAsia" w:ascii="宋体" w:hAnsi="宋体" w:cs="宋体"/>
          <w:color w:val="auto"/>
          <w:szCs w:val="21"/>
          <w:highlight w:val="none"/>
          <w:lang w:val="en-US" w:eastAsia="zh-CN"/>
        </w:rPr>
        <w:t>；合同一年一签。</w:t>
      </w:r>
    </w:p>
    <w:p w14:paraId="4E59BE04">
      <w:pPr>
        <w:pStyle w:val="36"/>
        <w:keepNext w:val="0"/>
        <w:keepLines w:val="0"/>
        <w:pageBreakBefore w:val="0"/>
        <w:widowControl w:val="0"/>
        <w:kinsoku/>
        <w:wordWrap/>
        <w:overflowPunct/>
        <w:topLinePunct/>
        <w:autoSpaceDE/>
        <w:autoSpaceDN/>
        <w:bidi w:val="0"/>
        <w:adjustRightInd w:val="0"/>
        <w:snapToGrid w:val="0"/>
        <w:spacing w:line="360" w:lineRule="auto"/>
        <w:ind w:left="0"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（2）签约合同价格：</w:t>
      </w:r>
      <w:r>
        <w:rPr>
          <w:rFonts w:hint="eastAsia" w:ascii="宋体" w:hAnsi="宋体" w:cs="宋体"/>
          <w:color w:val="auto"/>
          <w:szCs w:val="21"/>
          <w:highlight w:val="none"/>
          <w:u w:val="single"/>
          <w:lang w:val="en-US" w:eastAsia="zh-CN"/>
        </w:rPr>
        <w:t>人民币                 元/年（¥              /年）</w:t>
      </w:r>
      <w:r>
        <w:rPr>
          <w:rFonts w:hint="eastAsia" w:ascii="宋体" w:hAnsi="宋体" w:cs="宋体"/>
          <w:color w:val="auto"/>
          <w:szCs w:val="21"/>
          <w:highlight w:val="none"/>
          <w:lang w:val="en-US" w:eastAsia="zh-CN"/>
        </w:rPr>
        <w:t>。</w:t>
      </w:r>
    </w:p>
    <w:p w14:paraId="788A651A">
      <w:pPr>
        <w:pStyle w:val="36"/>
        <w:keepNext w:val="0"/>
        <w:keepLines w:val="0"/>
        <w:pageBreakBefore w:val="0"/>
        <w:widowControl w:val="0"/>
        <w:kinsoku/>
        <w:wordWrap/>
        <w:overflowPunct/>
        <w:topLinePunct/>
        <w:autoSpaceDE/>
        <w:autoSpaceDN/>
        <w:bidi w:val="0"/>
        <w:adjustRightInd w:val="0"/>
        <w:snapToGrid w:val="0"/>
        <w:spacing w:line="360" w:lineRule="auto"/>
        <w:ind w:left="0"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（3）本项目合同价格形式：总价合同。</w:t>
      </w:r>
    </w:p>
    <w:p w14:paraId="4BEE83EC">
      <w:pPr>
        <w:pStyle w:val="36"/>
        <w:keepNext w:val="0"/>
        <w:keepLines w:val="0"/>
        <w:pageBreakBefore w:val="0"/>
        <w:widowControl w:val="0"/>
        <w:kinsoku/>
        <w:wordWrap/>
        <w:overflowPunct/>
        <w:topLinePunct/>
        <w:autoSpaceDE/>
        <w:autoSpaceDN/>
        <w:bidi w:val="0"/>
        <w:adjustRightInd w:val="0"/>
        <w:snapToGrid w:val="0"/>
        <w:spacing w:line="360" w:lineRule="auto"/>
        <w:ind w:left="0"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同价格包括但不限于招标文件及其基本技术要求范围内相应项目前的准备（包括现场踏勘等）、项目服务、人员费用[包括但不限于工资薪金、劳务报酬、离职补偿金、管理费、培训费、加班费（包括全年法定假日、双休日及职工带薪年假加班费）、岗位补贴、高温补贴、员工福利、社会保险、公积金、商业保险、工会费等]、自有设备设施（含工器具、消耗品、服装、劳保用品）、维护修理、折旧、办公设备、通讯、检验检测、管理、质保、利润、各种税费、市场价格波动风险因素、政策性文件规定及项目明示或暗示的所有风险、责任、义务等各项应有的费用；上述未列明，但乙方认为所需的其他费用也包含在内，甲方不接受乙方任何因遗漏报价而发生的费用追加和调整，甲方不再向乙方支付其他额外任何费用。同时，除非合同条款中另有规定，否则，乙方所报价格在项目投标、合同实施期间不因市场变化等因素而变动。</w:t>
      </w:r>
    </w:p>
    <w:p w14:paraId="5A2E3611">
      <w:pPr>
        <w:pStyle w:val="36"/>
        <w:keepNext w:val="0"/>
        <w:keepLines w:val="0"/>
        <w:pageBreakBefore w:val="0"/>
        <w:widowControl w:val="0"/>
        <w:kinsoku/>
        <w:wordWrap/>
        <w:overflowPunct/>
        <w:topLinePunct/>
        <w:autoSpaceDE/>
        <w:autoSpaceDN/>
        <w:bidi w:val="0"/>
        <w:adjustRightInd w:val="0"/>
        <w:snapToGrid w:val="0"/>
        <w:spacing w:line="360" w:lineRule="auto"/>
        <w:ind w:left="0" w:firstLine="420" w:firstLineChars="200"/>
        <w:jc w:val="left"/>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合同期内若涉及本地区最低工资、社保缴费基数、住房公积金基数等上调，乙方应按政策要求保障人员相关法定待遇，涉及到工资差额、固定岗位工资差额、假日工资差额、社保差额部分、住房公积金差额等均由乙方承担。</w:t>
      </w:r>
    </w:p>
    <w:p w14:paraId="06C28C9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2.付款条件</w:t>
      </w:r>
    </w:p>
    <w:p w14:paraId="16A209DE">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（1）合同签订并收到</w:t>
      </w:r>
      <w:r>
        <w:rPr>
          <w:rFonts w:hint="eastAsia"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开具的发票后10个工作日内支付</w:t>
      </w:r>
      <w:r>
        <w:rPr>
          <w:rFonts w:hint="eastAsia" w:hAnsi="宋体" w:cs="宋体"/>
          <w:color w:val="auto"/>
          <w:szCs w:val="21"/>
          <w:highlight w:val="none"/>
          <w:lang w:val="en-US" w:eastAsia="zh-CN"/>
        </w:rPr>
        <w:t>年度</w:t>
      </w:r>
      <w:r>
        <w:rPr>
          <w:rFonts w:hint="eastAsia" w:ascii="宋体" w:hAnsi="宋体" w:eastAsia="宋体" w:cs="宋体"/>
          <w:color w:val="auto"/>
          <w:szCs w:val="21"/>
          <w:highlight w:val="none"/>
          <w:lang w:val="en-US" w:eastAsia="zh-CN"/>
        </w:rPr>
        <w:t>合同价款的10%作为预付款。</w:t>
      </w:r>
      <w:r>
        <w:rPr>
          <w:rFonts w:hint="eastAsia" w:ascii="宋体" w:hAnsi="宋体" w:eastAsia="宋体" w:cs="宋体"/>
          <w:sz w:val="21"/>
          <w:szCs w:val="21"/>
          <w:highlight w:val="none"/>
          <w:lang w:val="en-US" w:eastAsia="zh-CN"/>
        </w:rPr>
        <w:t>（乙方明确表示无需预付款或者主动要求降低预付款比例的，甲方可不适用前述规定）。</w:t>
      </w:r>
    </w:p>
    <w:p w14:paraId="468D0D61">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（2）剩余合同价款的90%</w:t>
      </w:r>
      <w:r>
        <w:rPr>
          <w:rFonts w:hint="eastAsia"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按月支付服务费用。</w:t>
      </w:r>
      <w:r>
        <w:rPr>
          <w:rFonts w:hint="eastAsia"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于每月20日前支付上月服务费用，但实际结算金额需扣除对应月份的考核扣款、违约金罚金（如有）等各类应扣费用，即每月实际结算金额=（</w:t>
      </w:r>
      <w:r>
        <w:rPr>
          <w:rFonts w:hint="eastAsia" w:hAnsi="宋体" w:cs="宋体"/>
          <w:color w:val="auto"/>
          <w:szCs w:val="21"/>
          <w:highlight w:val="none"/>
          <w:lang w:val="en-US" w:eastAsia="zh-CN"/>
        </w:rPr>
        <w:t>年度</w:t>
      </w:r>
      <w:r>
        <w:rPr>
          <w:rFonts w:hint="eastAsia" w:ascii="宋体" w:hAnsi="宋体" w:eastAsia="宋体" w:cs="宋体"/>
          <w:color w:val="auto"/>
          <w:szCs w:val="21"/>
          <w:highlight w:val="none"/>
          <w:lang w:val="en-US" w:eastAsia="zh-CN"/>
        </w:rPr>
        <w:t>合同价款×90%÷12）-考核扣款、违约金罚金（如有）等各类应扣费用。</w:t>
      </w:r>
    </w:p>
    <w:p w14:paraId="4B8413E5">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（3）每次付款时，</w:t>
      </w:r>
      <w:r>
        <w:rPr>
          <w:rFonts w:hint="eastAsia"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应跟</w:t>
      </w:r>
      <w:r>
        <w:rPr>
          <w:rFonts w:hint="eastAsia"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确定对应月份结算金额，并按要求开具本项目内容的有效发票，凭票向</w:t>
      </w:r>
      <w:r>
        <w:rPr>
          <w:rFonts w:hint="eastAsia"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申请付款，对于满足合同约定支付条件的，</w:t>
      </w:r>
      <w:r>
        <w:rPr>
          <w:rFonts w:hint="eastAsia"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原则上应当自收到发票后10个工作日内将资金支付到合同约定的</w:t>
      </w:r>
      <w:r>
        <w:rPr>
          <w:rFonts w:hint="eastAsia"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账户。因</w:t>
      </w:r>
      <w:r>
        <w:rPr>
          <w:rFonts w:hint="eastAsia"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未及时提供发票及有关付款材料导致相应后果的，</w:t>
      </w:r>
      <w:r>
        <w:rPr>
          <w:rFonts w:hint="eastAsia"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不承担任何责任。</w:t>
      </w:r>
    </w:p>
    <w:p w14:paraId="64C095AE">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（4）合同价款在服务期间不因薪资政策调整、市场变化等任何因素而变动。</w:t>
      </w:r>
    </w:p>
    <w:p w14:paraId="26291AB2">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int="default" w:hAnsi="宋体" w:eastAsia="宋体" w:cs="宋体"/>
          <w:b/>
          <w:bCs/>
          <w:color w:val="auto"/>
          <w:szCs w:val="21"/>
          <w:highlight w:val="none"/>
          <w:lang w:val="en-US" w:eastAsia="zh-CN"/>
        </w:rPr>
      </w:pPr>
      <w:r>
        <w:rPr>
          <w:rFonts w:hint="eastAsia" w:hAnsi="宋体" w:cs="宋体"/>
          <w:b/>
          <w:bCs/>
          <w:color w:val="auto"/>
          <w:szCs w:val="21"/>
          <w:highlight w:val="none"/>
          <w:lang w:val="en-US" w:eastAsia="zh-CN"/>
        </w:rPr>
        <w:t>三</w:t>
      </w:r>
      <w:r>
        <w:rPr>
          <w:rFonts w:hint="eastAsia" w:hAnsi="宋体" w:cs="宋体"/>
          <w:b/>
          <w:bCs/>
          <w:color w:val="auto"/>
          <w:szCs w:val="21"/>
          <w:highlight w:val="none"/>
        </w:rPr>
        <w:t>、项目</w:t>
      </w:r>
      <w:r>
        <w:rPr>
          <w:rFonts w:hint="eastAsia" w:hAnsi="宋体" w:cs="宋体"/>
          <w:b/>
          <w:bCs/>
          <w:color w:val="auto"/>
          <w:szCs w:val="21"/>
          <w:highlight w:val="none"/>
          <w:lang w:val="en-US" w:eastAsia="zh-CN"/>
        </w:rPr>
        <w:t>服务</w:t>
      </w:r>
      <w:r>
        <w:rPr>
          <w:rFonts w:hint="eastAsia" w:hAnsi="宋体" w:cs="宋体"/>
          <w:b/>
          <w:bCs/>
          <w:color w:val="auto"/>
          <w:szCs w:val="21"/>
          <w:highlight w:val="none"/>
        </w:rPr>
        <w:t>期限</w:t>
      </w:r>
      <w:r>
        <w:rPr>
          <w:rFonts w:hint="eastAsia" w:hAnsi="宋体" w:cs="宋体"/>
          <w:b/>
          <w:bCs/>
          <w:color w:val="auto"/>
          <w:szCs w:val="21"/>
          <w:highlight w:val="none"/>
          <w:lang w:val="en-US" w:eastAsia="zh-CN"/>
        </w:rPr>
        <w:t>及合同履行期限</w:t>
      </w:r>
    </w:p>
    <w:p w14:paraId="7B123096">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本项目服务期限</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三</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自</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月</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日</w:t>
      </w:r>
      <w:r>
        <w:rPr>
          <w:rFonts w:hint="eastAsia" w:ascii="宋体" w:hAnsi="宋体" w:eastAsia="宋体" w:cs="宋体"/>
          <w:b w:val="0"/>
          <w:bCs/>
          <w:color w:val="auto"/>
          <w:sz w:val="21"/>
          <w:szCs w:val="21"/>
          <w:highlight w:val="none"/>
          <w:lang w:val="en-US" w:eastAsia="zh-CN"/>
        </w:rPr>
        <w:t>至</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月</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日，合同一年一签。每年合同期满经</w:t>
      </w:r>
      <w:r>
        <w:rPr>
          <w:rFonts w:hint="eastAsia" w:hAnsi="宋体" w:cs="宋体"/>
          <w:b w:val="0"/>
          <w:bCs/>
          <w:color w:val="auto"/>
          <w:sz w:val="21"/>
          <w:szCs w:val="21"/>
          <w:highlight w:val="none"/>
          <w:lang w:eastAsia="zh-CN"/>
        </w:rPr>
        <w:t>甲方</w:t>
      </w:r>
      <w:r>
        <w:rPr>
          <w:rFonts w:hint="eastAsia" w:ascii="宋体" w:hAnsi="宋体" w:eastAsia="宋体" w:cs="宋体"/>
          <w:b w:val="0"/>
          <w:bCs/>
          <w:color w:val="auto"/>
          <w:sz w:val="21"/>
          <w:szCs w:val="21"/>
          <w:highlight w:val="none"/>
        </w:rPr>
        <w:t>考核合格后续签下一年度合同。</w:t>
      </w:r>
    </w:p>
    <w:p w14:paraId="44A655F2">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Ansi="宋体" w:cs="宋体"/>
          <w:color w:val="auto"/>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本合同履行期限为第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壹 </w:t>
      </w:r>
      <w:r>
        <w:rPr>
          <w:rFonts w:hint="eastAsia" w:ascii="宋体" w:hAnsi="宋体" w:eastAsia="宋体" w:cs="宋体"/>
          <w:color w:val="auto"/>
          <w:sz w:val="21"/>
          <w:szCs w:val="21"/>
          <w:highlight w:val="none"/>
        </w:rPr>
        <w:t>年合同，</w:t>
      </w:r>
      <w:r>
        <w:rPr>
          <w:rFonts w:hint="eastAsia" w:ascii="宋体" w:hAnsi="宋体" w:eastAsia="宋体" w:cs="宋体"/>
          <w:b w:val="0"/>
          <w:bCs/>
          <w:color w:val="auto"/>
          <w:sz w:val="21"/>
          <w:szCs w:val="21"/>
          <w:highlight w:val="none"/>
        </w:rPr>
        <w:t>自</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月</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日至</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月</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rPr>
        <w:t>日</w:t>
      </w:r>
      <w:r>
        <w:rPr>
          <w:rFonts w:hint="eastAsia" w:ascii="宋体" w:hAnsi="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合同期满经</w:t>
      </w:r>
      <w:r>
        <w:rPr>
          <w:rFonts w:hint="eastAsia" w:hAnsi="宋体" w:cs="宋体"/>
          <w:b w:val="0"/>
          <w:bCs/>
          <w:color w:val="auto"/>
          <w:sz w:val="21"/>
          <w:szCs w:val="21"/>
          <w:highlight w:val="none"/>
          <w:lang w:eastAsia="zh-CN"/>
        </w:rPr>
        <w:t>甲方</w:t>
      </w:r>
      <w:r>
        <w:rPr>
          <w:rFonts w:hint="eastAsia" w:ascii="宋体" w:hAnsi="宋体" w:eastAsia="宋体" w:cs="宋体"/>
          <w:b w:val="0"/>
          <w:bCs/>
          <w:color w:val="auto"/>
          <w:sz w:val="21"/>
          <w:szCs w:val="21"/>
          <w:highlight w:val="none"/>
        </w:rPr>
        <w:t>考核合格后续签下一年度合同。</w:t>
      </w:r>
    </w:p>
    <w:p w14:paraId="36BBB9AA">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Ansi="宋体" w:cs="宋体"/>
          <w:b/>
          <w:bCs/>
          <w:color w:val="auto"/>
          <w:szCs w:val="21"/>
          <w:highlight w:val="none"/>
        </w:rPr>
      </w:pPr>
      <w:r>
        <w:rPr>
          <w:rFonts w:hint="eastAsia" w:hAnsi="宋体" w:cs="宋体"/>
          <w:b/>
          <w:bCs/>
          <w:color w:val="auto"/>
          <w:szCs w:val="21"/>
          <w:highlight w:val="none"/>
          <w:lang w:val="en-US" w:eastAsia="zh-CN"/>
        </w:rPr>
        <w:t>四</w:t>
      </w:r>
      <w:r>
        <w:rPr>
          <w:rFonts w:hint="eastAsia" w:hAnsi="宋体" w:cs="宋体"/>
          <w:b/>
          <w:bCs/>
          <w:color w:val="auto"/>
          <w:szCs w:val="21"/>
          <w:highlight w:val="none"/>
        </w:rPr>
        <w:t>、合同文件的组成</w:t>
      </w:r>
    </w:p>
    <w:p w14:paraId="1825B4DA">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lang w:val="en-US" w:eastAsia="zh-CN"/>
        </w:rPr>
        <w:t>1.</w:t>
      </w:r>
      <w:r>
        <w:rPr>
          <w:rFonts w:hint="eastAsia" w:hAnsi="宋体" w:cs="宋体"/>
          <w:color w:val="auto"/>
          <w:szCs w:val="21"/>
          <w:highlight w:val="none"/>
        </w:rPr>
        <w:t>本项目合同由下列文件组成，均为本合同不可分割的部分：</w:t>
      </w:r>
    </w:p>
    <w:p w14:paraId="23FC1307">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（1）本合同执行期间甲、乙双方签署确认的文件（包括会议纪要、补充协议、往来信函及修正文件）；</w:t>
      </w:r>
    </w:p>
    <w:p w14:paraId="57D492D6">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（2）本项目采购文件及其答疑补遗文件（含采购文件澄清或修正内容、答疑会议纪要等）；</w:t>
      </w:r>
    </w:p>
    <w:p w14:paraId="16D39794">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（3）乙方针对本项目的投标文件及其相关承诺附件（含投标文件澄清）、各项制度和规定（包括在本合同签订后的各类新出台的制度和规定）；</w:t>
      </w:r>
    </w:p>
    <w:p w14:paraId="7E224E91">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（4）中标（成交）通知书；</w:t>
      </w:r>
    </w:p>
    <w:p w14:paraId="7C426D82">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（5）组成合同的其他文件。</w:t>
      </w:r>
    </w:p>
    <w:p w14:paraId="0E7156E6">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lang w:val="en-US" w:eastAsia="zh-CN"/>
        </w:rPr>
        <w:t>2.</w:t>
      </w:r>
      <w:r>
        <w:rPr>
          <w:rFonts w:hint="eastAsia" w:hAnsi="宋体" w:cs="宋体"/>
          <w:color w:val="auto"/>
          <w:szCs w:val="21"/>
          <w:highlight w:val="none"/>
        </w:rPr>
        <w:t>如乙方在其编制本项目的投标文件及其相关承诺附件中作出有比采购文件及答疑补遗文件和本合同更有利于甲方的响应（该是否有利于甲方的解释权双方同意最终归甲方所有），则乙方投标文件及其相关承诺附件中更有利于甲方的相关条款内容的解释顺序优于招标（采购）文件及答疑补遗文件和本合同，乙方须按这些响应承诺履行。</w:t>
      </w:r>
    </w:p>
    <w:p w14:paraId="04C0EACF">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lang w:val="en-US" w:eastAsia="zh-CN"/>
        </w:rPr>
        <w:t>3.</w:t>
      </w:r>
      <w:r>
        <w:rPr>
          <w:rFonts w:hint="eastAsia" w:hAnsi="宋体" w:cs="宋体"/>
          <w:color w:val="auto"/>
          <w:szCs w:val="21"/>
          <w:highlight w:val="none"/>
        </w:rPr>
        <w:t>所有经双方签署确认的文件（包括会议纪要、补充协议、变更协议等）、采购文件、投标文件和响应承诺文件、合同附件及《中标（成交）通知书》均为本合同不可分割的有效组成部分，与本合同具有同等的法律效力和履约义务，其缔约生效日期为有效签署或盖章确认之日期。</w:t>
      </w:r>
    </w:p>
    <w:p w14:paraId="1C62A604">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hAnsi="宋体" w:cs="宋体"/>
          <w:b/>
          <w:bCs/>
          <w:color w:val="auto"/>
          <w:szCs w:val="21"/>
          <w:highlight w:val="none"/>
          <w:lang w:val="en-US" w:eastAsia="zh-CN"/>
        </w:rPr>
      </w:pPr>
      <w:r>
        <w:rPr>
          <w:rFonts w:hint="eastAsia" w:hAnsi="宋体" w:cs="宋体"/>
          <w:b/>
          <w:bCs/>
          <w:color w:val="auto"/>
          <w:szCs w:val="21"/>
          <w:highlight w:val="none"/>
          <w:lang w:val="en-US" w:eastAsia="zh-CN"/>
        </w:rPr>
        <w:t>五、双方权利及义务</w:t>
      </w:r>
    </w:p>
    <w:p w14:paraId="15FF9EA3">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b w:val="0"/>
          <w:bCs w:val="0"/>
          <w:color w:val="auto"/>
          <w:szCs w:val="21"/>
          <w:highlight w:val="none"/>
          <w:lang w:val="en-US" w:eastAsia="zh-CN"/>
        </w:rPr>
      </w:pPr>
      <w:r>
        <w:rPr>
          <w:rFonts w:hint="eastAsia" w:hAnsi="宋体" w:cs="宋体"/>
          <w:b w:val="0"/>
          <w:bCs w:val="0"/>
          <w:color w:val="auto"/>
          <w:szCs w:val="21"/>
          <w:highlight w:val="none"/>
          <w:lang w:val="en-US" w:eastAsia="zh-CN"/>
        </w:rPr>
        <w:t>1.甲方的权利及义务</w:t>
      </w:r>
    </w:p>
    <w:p w14:paraId="1CFF3FC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对乙方餐饮服务及管理工作享有监督、检查、考核和管理权，有权依据考核结果作出扣款、处罚、限期整改等处理；对乙方关键岗位人员任职资格享有审核权，对不符合要求的人员有权要求更换。</w:t>
      </w:r>
    </w:p>
    <w:p w14:paraId="00CB653A">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对食堂菜单、菜品定价、成本核算享有审核决定权；负责原辅料食材的采购、验收和保管；对乙方设备设施更新添置申请享有审核批准权。</w:t>
      </w:r>
    </w:p>
    <w:p w14:paraId="55878527">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对乙方违约情形有权按合同约定追究责任，直至单方解除合同；乙方应支付的违约金、赔偿金等款项，有权直接从应付服务费中抵扣。</w:t>
      </w:r>
    </w:p>
    <w:p w14:paraId="493A7C2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按合同约定及时支付服务费用；提供食堂现有厨房设备、设施及餐饮用具，提供窗口IC卡刷卡机、结算服务及网络支持。</w:t>
      </w:r>
    </w:p>
    <w:p w14:paraId="0B71451E">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提供必要办公用房，承担食堂运营所需水、电、气费用；按约定提供低值易耗品；工作时间内为乙方员工提供免费简餐。</w:t>
      </w:r>
    </w:p>
    <w:p w14:paraId="0500B152">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对乙方食品安全管理工作进行业务指导，协调处理食堂运营相关事务；合同期满或解除时，配合做好设备清点及交接工作。</w:t>
      </w:r>
    </w:p>
    <w:p w14:paraId="5B3649F7">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）其他采购文件及合同约定的权利及义务。</w:t>
      </w:r>
    </w:p>
    <w:p w14:paraId="0B8635AB">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2.乙方的权利及义务</w:t>
      </w:r>
    </w:p>
    <w:p w14:paraId="16242023">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按合同约定按时收取服务费用；在合同范围内自主开展食堂日常生产经营和人员管理工作；对超出合同约定范围的服务要求，有权另行协商计费。</w:t>
      </w:r>
    </w:p>
    <w:p w14:paraId="7072F250">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严格遵守食品安全、劳动用工等法律法规及甲方各项管理制度，服从甲方日常管理与督查考核。</w:t>
      </w:r>
    </w:p>
    <w:p w14:paraId="7E800306">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按约定足额配备服务人员（不少于38人），关键岗位持证上岗；规范用工管理，依法签订劳动合同、支付薪酬、缴纳社保公积金，承担全部劳资纠纷及法律责任。</w:t>
      </w:r>
    </w:p>
    <w:p w14:paraId="27EAE04D">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配备专职持证</w:t>
      </w:r>
      <w:r>
        <w:rPr>
          <w:rFonts w:hint="eastAsia" w:hAnsi="宋体" w:cs="宋体"/>
          <w:color w:val="auto"/>
          <w:szCs w:val="21"/>
          <w:highlight w:val="none"/>
          <w:lang w:eastAsia="zh-CN"/>
        </w:rPr>
        <w:t>食品安全管理员</w:t>
      </w:r>
      <w:r>
        <w:rPr>
          <w:rFonts w:hint="eastAsia" w:ascii="宋体" w:hAnsi="宋体" w:eastAsia="宋体" w:cs="宋体"/>
          <w:color w:val="auto"/>
          <w:szCs w:val="21"/>
          <w:highlight w:val="none"/>
        </w:rPr>
        <w:t>，建立健全食品安全管理制度，严格执行食品留样、台账登记、生熟分开、餐具消毒等规范，杜绝食品安全责任事故。</w:t>
      </w:r>
    </w:p>
    <w:p w14:paraId="225E6D3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按供餐时间、品种数量和质量标准提供餐饮服务，保证菜品丰富、供应充足，做到半个月菜品不重复，每月推出新品。</w:t>
      </w:r>
    </w:p>
    <w:p w14:paraId="1A1E38D6">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负责食堂日常清洁卫生和消杀工作，做到工完场清、日产日清；负责设备设施日常维护保养，人为损坏负责维修或赔偿。</w:t>
      </w:r>
    </w:p>
    <w:p w14:paraId="5E822B96">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厉行节约，合理控制食材及水电气能耗；落实安全生产主体责任，承担食品卫生、消防、用电用气等全面安全管理责任。</w:t>
      </w:r>
    </w:p>
    <w:p w14:paraId="77ACD2F8">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严格执行IC卡结算制度，不得私收现金、私拿食材物品；保守甲方公务秘密及非公开信息，合同终止后仍负有保密义务。</w:t>
      </w:r>
    </w:p>
    <w:p w14:paraId="1A52CC96">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自费为人员办理人身及财产保险；合同期满或解除时配合做好交接，过渡期内按原标准继续提供服务；不得转包、分包本项目。</w:t>
      </w:r>
    </w:p>
    <w:p w14:paraId="6182090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b/>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其他采购文件、投标响应及合同约定的权利及义务。</w:t>
      </w:r>
      <w:r>
        <w:rPr>
          <w:rFonts w:ascii="宋体" w:hAnsi="宋体" w:eastAsia="宋体" w:cs="宋体"/>
          <w:color w:val="auto"/>
          <w:szCs w:val="21"/>
          <w:highlight w:val="none"/>
        </w:rPr>
        <w:br w:type="textWrapping"/>
      </w:r>
      <w:r>
        <w:rPr>
          <w:rFonts w:hint="eastAsia" w:hAnsi="宋体" w:cs="宋体"/>
          <w:b/>
          <w:bCs/>
          <w:color w:val="auto"/>
          <w:szCs w:val="21"/>
          <w:highlight w:val="none"/>
          <w:lang w:val="en-US" w:eastAsia="zh-CN"/>
        </w:rPr>
        <w:t>六</w:t>
      </w:r>
      <w:r>
        <w:rPr>
          <w:rFonts w:hint="eastAsia" w:hAnsi="宋体" w:cs="宋体"/>
          <w:b/>
          <w:bCs/>
          <w:color w:val="auto"/>
          <w:szCs w:val="21"/>
          <w:highlight w:val="none"/>
        </w:rPr>
        <w:t>、服务内容</w:t>
      </w:r>
    </w:p>
    <w:p w14:paraId="3130E0EF">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contextualSpacing/>
        <w:jc w:val="left"/>
        <w:textAlignment w:val="auto"/>
        <w:outlineLvl w:val="1"/>
        <w:rPr>
          <w:rFonts w:hint="default" w:ascii="宋体" w:hAnsi="宋体" w:cs="宋体"/>
          <w:b/>
          <w:bCs w:val="0"/>
          <w:color w:val="auto"/>
          <w:sz w:val="21"/>
          <w:szCs w:val="21"/>
          <w:highlight w:val="none"/>
          <w:lang w:val="en-US" w:eastAsia="zh-CN"/>
        </w:rPr>
      </w:pPr>
      <w:r>
        <w:rPr>
          <w:rFonts w:hint="eastAsia" w:ascii="宋体" w:hAnsi="宋体" w:cs="宋体"/>
          <w:b/>
          <w:bCs w:val="0"/>
          <w:color w:val="auto"/>
          <w:sz w:val="21"/>
          <w:szCs w:val="21"/>
          <w:highlight w:val="none"/>
          <w:lang w:val="en-US" w:eastAsia="zh-CN"/>
        </w:rPr>
        <w:t>（一）项目基本情况</w:t>
      </w:r>
    </w:p>
    <w:p w14:paraId="24D8973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1.食堂（含餐厅）面积：约2700.00平方米；餐位：约600个，具体以现场实际情况为准。</w:t>
      </w:r>
    </w:p>
    <w:p w14:paraId="7A8AC5DC">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2.餐饮供餐情况</w:t>
      </w:r>
    </w:p>
    <w:p w14:paraId="1433F5A2">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（1）工作日</w:t>
      </w:r>
    </w:p>
    <w:p w14:paraId="288AA7D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早餐约600人用餐，应开至少2条售卖线。</w:t>
      </w:r>
    </w:p>
    <w:p w14:paraId="005F453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午餐约1500人用餐，应开至少5条售卖线。</w:t>
      </w:r>
    </w:p>
    <w:p w14:paraId="3ED36BEE">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晚餐约300人用餐，应开至少1条售卖线。</w:t>
      </w:r>
    </w:p>
    <w:p w14:paraId="3CBEFBF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注：应具体根据现场就餐情况动态增加售卖线。</w:t>
      </w:r>
    </w:p>
    <w:p w14:paraId="1C5856DC">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kern w:val="2"/>
          <w:sz w:val="21"/>
          <w:szCs w:val="21"/>
          <w:highlight w:val="none"/>
          <w:lang w:val="en-US" w:eastAsia="zh-CN" w:bidi="ar-SA"/>
        </w:rPr>
        <w:t>（2）</w:t>
      </w:r>
      <w:r>
        <w:rPr>
          <w:rFonts w:hint="eastAsia" w:ascii="宋体" w:hAnsi="宋体" w:cs="宋体"/>
          <w:bCs/>
          <w:color w:val="auto"/>
          <w:sz w:val="21"/>
          <w:szCs w:val="21"/>
          <w:highlight w:val="none"/>
          <w:lang w:val="en-US" w:eastAsia="zh-CN"/>
        </w:rPr>
        <w:t>双休日、节假日</w:t>
      </w:r>
    </w:p>
    <w:p w14:paraId="4C563E88">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星期六供应午餐，约300人用餐。</w:t>
      </w:r>
    </w:p>
    <w:p w14:paraId="7BE57D83">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星期日、节假日不供餐。特殊情况除外。</w:t>
      </w:r>
    </w:p>
    <w:p w14:paraId="77DFA45A">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如遇相关特殊情况及法定调休等情形，乙方应具体根据行政中心工作情况及甲方需求安排餐饮供餐及服务。</w:t>
      </w:r>
    </w:p>
    <w:p w14:paraId="0A44DEF4">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3.品种要求</w:t>
      </w:r>
    </w:p>
    <w:p w14:paraId="72C092D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早餐：小菜、粥、面食、点心等。</w:t>
      </w:r>
    </w:p>
    <w:p w14:paraId="14C646C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午餐：菜品 20-30种、饭、面食、小炒等。半个月菜品不重复，菜品以本地菜为主，提供川菜、粤菜及其他地区特色菜选择。</w:t>
      </w:r>
    </w:p>
    <w:p w14:paraId="5F9986CF">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晚餐：菜品 10-15种、饭、面食、小炒等。半个月菜品不重复，菜品以本地菜为主，提供川菜、粤菜及其他地区特色菜选择。</w:t>
      </w:r>
    </w:p>
    <w:p w14:paraId="28FBC59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4.供应时间</w:t>
      </w:r>
    </w:p>
    <w:p w14:paraId="6F44F75D">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早餐：07:30-08:45</w:t>
      </w:r>
    </w:p>
    <w:p w14:paraId="1EFAD09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午餐：11:15-12:30</w:t>
      </w:r>
    </w:p>
    <w:p w14:paraId="1D035DC9">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晚餐：17:30-18:30</w:t>
      </w:r>
    </w:p>
    <w:p w14:paraId="47B8138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5.经营形式：委托经营管理</w:t>
      </w:r>
    </w:p>
    <w:p w14:paraId="4662CD28">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（1）甲方负责原辅料食材的采购、验收和保管；成本核算及核定菜品价格；菜单的审核等。</w:t>
      </w:r>
    </w:p>
    <w:p w14:paraId="1AEF8CB7">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（2）甲方负责提供食堂内所需厨房设备、设施及餐饮用具；负责提供窗口IC卡刷卡机及IC卡结算服务；负责网络处理。</w:t>
      </w:r>
    </w:p>
    <w:p w14:paraId="4654132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contextualSpacing/>
        <w:jc w:val="left"/>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（3）乙方负责招聘、录用所需服务人员，负责食堂日常的生产、经营、接待、卫生等工作，并支付一切费用。</w:t>
      </w:r>
    </w:p>
    <w:p w14:paraId="0BC97EDA">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contextualSpacing/>
        <w:jc w:val="left"/>
        <w:textAlignment w:val="auto"/>
        <w:outlineLvl w:val="1"/>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（二）基本服务要求</w:t>
      </w:r>
    </w:p>
    <w:p w14:paraId="0D99540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必须严格</w:t>
      </w:r>
      <w:r>
        <w:rPr>
          <w:rFonts w:hint="eastAsia" w:ascii="宋体" w:hAnsi="宋体" w:cs="宋体"/>
          <w:color w:val="000000"/>
          <w:kern w:val="0"/>
          <w:sz w:val="21"/>
          <w:szCs w:val="21"/>
          <w:highlight w:val="none"/>
          <w:lang w:val="en-US" w:eastAsia="zh-CN"/>
        </w:rPr>
        <w:t>遵守《中华人民共和国食品安全法》</w:t>
      </w:r>
      <w:r>
        <w:rPr>
          <w:rFonts w:hint="eastAsia" w:ascii="宋体" w:hAnsi="宋体" w:eastAsia="宋体" w:cs="宋体"/>
          <w:color w:val="000000"/>
          <w:kern w:val="0"/>
          <w:sz w:val="21"/>
          <w:szCs w:val="21"/>
          <w:highlight w:val="none"/>
          <w:lang w:val="en-US" w:eastAsia="zh-CN"/>
        </w:rPr>
        <w:t>及相关法律法规，严把食品安全卫生质量关，</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食堂管理必须符合卫生监督部门的相关要求。</w:t>
      </w:r>
    </w:p>
    <w:p w14:paraId="3EE887E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2.乙方必须配备一名持证</w:t>
      </w:r>
      <w:r>
        <w:rPr>
          <w:rFonts w:hint="eastAsia" w:ascii="宋体" w:hAnsi="宋体" w:cs="宋体"/>
          <w:color w:val="000000"/>
          <w:kern w:val="0"/>
          <w:sz w:val="21"/>
          <w:szCs w:val="21"/>
          <w:highlight w:val="none"/>
          <w:lang w:val="en-US" w:eastAsia="zh-CN"/>
        </w:rPr>
        <w:t>食品安全总监（由项目负责人兼任）及一名持证食品安全管理员</w:t>
      </w:r>
      <w:r>
        <w:rPr>
          <w:rFonts w:hint="eastAsia" w:ascii="宋体" w:hAnsi="宋体" w:eastAsia="宋体" w:cs="宋体"/>
          <w:color w:val="000000"/>
          <w:kern w:val="0"/>
          <w:sz w:val="21"/>
          <w:szCs w:val="21"/>
          <w:highlight w:val="none"/>
          <w:lang w:val="en-US" w:eastAsia="zh-CN"/>
        </w:rPr>
        <w:t>，负责本食堂餐饮服务及管理的卫生和安全监督及管理工作，依据有关法律和规定：督促落实餐饮服务过程控制要求；检查食品安全管理制度执行情况，管理维护餐饮服务过程记录材料，按照要求保存相关资料；对不符合食品安全标准的食品或者有证据证明可能危害人体健康的食品以及发现的食品安全风险隐患，及时采取有效措施整改并报告；记录和管理从业人员健康状况、卫生状况；配合有关部门调查处理食品安全事故；以及承担其他食品安全管理责任。甲方有权对</w:t>
      </w:r>
      <w:r>
        <w:rPr>
          <w:rFonts w:hint="eastAsia" w:ascii="宋体" w:hAnsi="宋体" w:cs="宋体"/>
          <w:color w:val="000000"/>
          <w:kern w:val="0"/>
          <w:sz w:val="21"/>
          <w:szCs w:val="21"/>
          <w:highlight w:val="none"/>
          <w:lang w:val="en-US" w:eastAsia="zh-CN"/>
        </w:rPr>
        <w:t>食品安全总监、食品安全管理员</w:t>
      </w:r>
      <w:r>
        <w:rPr>
          <w:rFonts w:hint="eastAsia" w:ascii="宋体" w:hAnsi="宋体" w:eastAsia="宋体" w:cs="宋体"/>
          <w:color w:val="000000"/>
          <w:kern w:val="0"/>
          <w:sz w:val="21"/>
          <w:szCs w:val="21"/>
          <w:highlight w:val="none"/>
          <w:lang w:val="en-US" w:eastAsia="zh-CN"/>
        </w:rPr>
        <w:t>的工作进行监督和业务指导。</w:t>
      </w:r>
    </w:p>
    <w:p w14:paraId="1650E26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必须按食堂安全卫生管理要求，做好每天的食品留样，并做好台账登记和管理工作。</w:t>
      </w:r>
    </w:p>
    <w:p w14:paraId="0198266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4.</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必须建立健全各类餐饮卫生管理制度和岗位责任制，加强从业人员的培训与管理，严把员工素质关，做到管理规范化、服务标准化，杜绝任何食品安全卫生责任事故的发生。若因</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的加工制作、安全卫生等问题所引发的责任事故，一切后果均由</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负责。</w:t>
      </w:r>
    </w:p>
    <w:p w14:paraId="3FAD5A0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负责提供适口、新鲜、卫生的膳食和热情的服务，同时严格控制主辅料的搭配及调味品的使用和管理，有效利用原材料，杜绝浪费，以降低成本。</w:t>
      </w:r>
    </w:p>
    <w:p w14:paraId="53D22E2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6.必须严格按照《中华人民共和国劳动法》及相关规定，规范用工及支付职工薪酬，必须符合本地最低工资标准和社会保险缴费要求，不得拖欠克扣员工应有待遇，确保职工的相关权益，从而保证用工合法性和人员队伍稳定性。如因用工不规范或薪酬问题等产生的纠纷与甲方无关，由乙方负责解决。如发生债权、债务纠纷和工伤等责任事故，均由乙方负责承担。</w:t>
      </w:r>
    </w:p>
    <w:p w14:paraId="23BE5F0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7.</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必须做到节约使用食堂水、电、气及易耗品，降低能耗，减少浪费，建立节约奖惩机制。</w:t>
      </w:r>
    </w:p>
    <w:p w14:paraId="42BA48C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8.</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必须负责服务期内厨、灶、餐饮用具及水、电、气等设施的日常维护保养。</w:t>
      </w:r>
    </w:p>
    <w:p w14:paraId="52409A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9.</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必须在规定范围内合法依规工作，按</w:t>
      </w:r>
      <w:r>
        <w:rPr>
          <w:rFonts w:hint="eastAsia" w:ascii="宋体" w:hAnsi="宋体" w:cs="宋体"/>
          <w:color w:val="000000"/>
          <w:kern w:val="0"/>
          <w:sz w:val="21"/>
          <w:szCs w:val="21"/>
          <w:highlight w:val="none"/>
          <w:lang w:val="en-US" w:eastAsia="zh-CN"/>
        </w:rPr>
        <w:t>甲方</w:t>
      </w:r>
      <w:r>
        <w:rPr>
          <w:rFonts w:hint="eastAsia" w:ascii="宋体" w:hAnsi="宋体" w:eastAsia="宋体" w:cs="宋体"/>
          <w:color w:val="000000"/>
          <w:kern w:val="0"/>
          <w:sz w:val="21"/>
          <w:szCs w:val="21"/>
          <w:highlight w:val="none"/>
          <w:lang w:val="en-US" w:eastAsia="zh-CN"/>
        </w:rPr>
        <w:t>规定的加工制作、销售的流程进行加工制作和销售。</w:t>
      </w:r>
    </w:p>
    <w:p w14:paraId="09ACBD8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10.合同期间，因</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人为因素造成设备、设施及餐饮用具损坏、丢失的，则由</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自己负责维修或赔偿。合同终止、提前解除时，</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交还给</w:t>
      </w:r>
      <w:r>
        <w:rPr>
          <w:rFonts w:hint="eastAsia" w:ascii="宋体" w:hAnsi="宋体" w:cs="宋体"/>
          <w:color w:val="000000"/>
          <w:kern w:val="0"/>
          <w:sz w:val="21"/>
          <w:szCs w:val="21"/>
          <w:highlight w:val="none"/>
          <w:lang w:val="en-US" w:eastAsia="zh-CN"/>
        </w:rPr>
        <w:t>甲方</w:t>
      </w:r>
      <w:r>
        <w:rPr>
          <w:rFonts w:hint="eastAsia" w:ascii="宋体" w:hAnsi="宋体" w:eastAsia="宋体" w:cs="宋体"/>
          <w:color w:val="000000"/>
          <w:kern w:val="0"/>
          <w:sz w:val="21"/>
          <w:szCs w:val="21"/>
          <w:highlight w:val="none"/>
          <w:lang w:val="en-US" w:eastAsia="zh-CN"/>
        </w:rPr>
        <w:t>的设备、设施必须完好无损可用，否则要给予赔偿。</w:t>
      </w:r>
    </w:p>
    <w:p w14:paraId="4368163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11.</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出现下列违规情形之一的，</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有权单次处以【人民币1,000.00元】的违约金，同时责令</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限期整改：</w:t>
      </w:r>
    </w:p>
    <w:p w14:paraId="30CDC86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（1）未按</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规定时间供餐、提前收餐、服务不规范，不服从</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日常管理、督查整改要求的；</w:t>
      </w:r>
    </w:p>
    <w:p w14:paraId="70EF9BC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（2）食品留样不规范、台账记录不全、虚假记录；</w:t>
      </w:r>
    </w:p>
    <w:p w14:paraId="7925688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（3）存在人为浪费水电气、耗材、食材等，经</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提醒仍不整改的；</w:t>
      </w:r>
    </w:p>
    <w:p w14:paraId="634620D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员工私拿、私吃食堂食材、物品，售卖及结算过程中私自收取现金、违规操作的；</w:t>
      </w:r>
    </w:p>
    <w:p w14:paraId="7533844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（5）食堂厨房、餐厅卫生不达标、消杀不到位、存在异味、垃圾堆积、餐具清洁消毒不合格的；</w:t>
      </w:r>
    </w:p>
    <w:p w14:paraId="75B5D4F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（6）员工着装、持证上岗、个人卫生不符合规范，关键岗位人员擅自离岗、违规上岗的；</w:t>
      </w:r>
    </w:p>
    <w:p w14:paraId="36B4C2E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（7）未按约定更新菜品或者菜品重复供应的；</w:t>
      </w:r>
    </w:p>
    <w:p w14:paraId="1872786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（8）其他违反本合同服务标准、管理制度的轻微违规行为。</w:t>
      </w:r>
    </w:p>
    <w:p w14:paraId="1D5886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sz w:val="21"/>
          <w:szCs w:val="21"/>
          <w:highlight w:val="none"/>
        </w:rPr>
        <w:t>上级部门、</w:t>
      </w:r>
      <w:r>
        <w:rPr>
          <w:rFonts w:hint="eastAsia" w:ascii="宋体" w:hAnsi="宋体" w:eastAsia="宋体" w:cs="宋体"/>
          <w:color w:val="000000"/>
          <w:sz w:val="21"/>
          <w:szCs w:val="21"/>
          <w:highlight w:val="none"/>
          <w:lang w:val="en-US" w:eastAsia="zh-CN"/>
        </w:rPr>
        <w:t>领导</w:t>
      </w:r>
      <w:r>
        <w:rPr>
          <w:rFonts w:hint="eastAsia" w:ascii="宋体" w:hAnsi="宋体" w:eastAsia="宋体" w:cs="宋体"/>
          <w:color w:val="000000"/>
          <w:sz w:val="21"/>
          <w:szCs w:val="21"/>
          <w:highlight w:val="none"/>
        </w:rPr>
        <w:t>检查发现属于</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rPr>
        <w:t>责任的卫生、安全、服务问题，</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rPr>
        <w:t>有权</w:t>
      </w:r>
      <w:r>
        <w:rPr>
          <w:rFonts w:hint="eastAsia" w:ascii="宋体" w:hAnsi="宋体" w:eastAsia="宋体" w:cs="宋体"/>
          <w:color w:val="000000"/>
          <w:sz w:val="21"/>
          <w:szCs w:val="21"/>
          <w:highlight w:val="none"/>
          <w:lang w:val="en-US" w:eastAsia="zh-CN"/>
        </w:rPr>
        <w:t>另行</w:t>
      </w:r>
      <w:r>
        <w:rPr>
          <w:rFonts w:hint="eastAsia" w:ascii="宋体" w:hAnsi="宋体" w:eastAsia="宋体" w:cs="宋体"/>
          <w:color w:val="000000"/>
          <w:sz w:val="21"/>
          <w:szCs w:val="21"/>
          <w:highlight w:val="none"/>
        </w:rPr>
        <w:t>单次处以</w:t>
      </w:r>
      <w:r>
        <w:rPr>
          <w:rFonts w:hint="eastAsia" w:ascii="宋体" w:hAnsi="宋体" w:eastAsia="宋体" w:cs="宋体"/>
          <w:color w:val="000000"/>
          <w:kern w:val="0"/>
          <w:sz w:val="21"/>
          <w:szCs w:val="21"/>
          <w:highlight w:val="none"/>
          <w:lang w:val="en-US" w:eastAsia="zh-CN" w:bidi="ar-SA"/>
        </w:rPr>
        <w:t>【人民币1,000.00元】的</w:t>
      </w:r>
      <w:r>
        <w:rPr>
          <w:rFonts w:hint="eastAsia" w:ascii="宋体" w:hAnsi="宋体" w:eastAsia="宋体" w:cs="宋体"/>
          <w:color w:val="000000"/>
          <w:sz w:val="21"/>
          <w:szCs w:val="21"/>
          <w:highlight w:val="none"/>
        </w:rPr>
        <w:t>违约金，同时</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rPr>
        <w:t>须承担全部整改责任、行政处罚及损失。</w:t>
      </w:r>
    </w:p>
    <w:p w14:paraId="2911928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12.</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出现下列重大违约情形之一的，</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有权立即单方解除本合同，</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须向</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支付年度合同总价款【10.00%】的违约金，若违约金不足以弥补</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损失（含整改费、第三方服务费、行政处罚损失等）的，</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另行全额补足：</w:t>
      </w:r>
    </w:p>
    <w:p w14:paraId="759E0EC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（1）经卫生监督部门鉴定，因</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食材加工、储存、操作、管理不当，造成3人及以上就餐人员食物中毒等群体性食品安全事件，或被市场监管部门立案处罚、通报批评的；</w:t>
      </w:r>
    </w:p>
    <w:p w14:paraId="54B7D36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（2）经消防安全部门鉴定，因</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违规操作、管理失职引发火灾、漏电、燃气泄漏等安全事故，造成财产损失、人员伤害或不良社会影响的；</w:t>
      </w:r>
    </w:p>
    <w:p w14:paraId="18EC98D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（3）售卖、使用变质、过期、不洁、有毒有害食材，违规使用食品添加剂，严重违反食品安全规定的；</w:t>
      </w:r>
    </w:p>
    <w:p w14:paraId="783EACF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（4）服务态度恶劣、与就餐人员发生争执、引发就餐人员投诉的；</w:t>
      </w:r>
    </w:p>
    <w:p w14:paraId="2BCD6D6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服务月度考核分数低于80分；</w:t>
      </w:r>
    </w:p>
    <w:p w14:paraId="6564134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擅自将本合同服务项目转包、分包、转借他人经营的；</w:t>
      </w:r>
    </w:p>
    <w:p w14:paraId="754F0A0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拒不执行</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合理整改要求、拒不配合督查考核、长期服务不达标，严重影响</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正常就餐秩序及办公秩序的；</w:t>
      </w:r>
    </w:p>
    <w:p w14:paraId="3B9E6D8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存在商业贿赂、向</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工作人员提供不正当利益等违规违纪行为的；</w:t>
      </w:r>
    </w:p>
    <w:p w14:paraId="332BAA8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（9）未按</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要求整改，逾期未整改、整改不到位的；</w:t>
      </w:r>
    </w:p>
    <w:p w14:paraId="5ACD44B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color w:val="000000"/>
          <w:highlight w:val="none"/>
          <w:lang w:val="en-US" w:eastAsia="zh-CN"/>
        </w:rPr>
      </w:pPr>
      <w:r>
        <w:rPr>
          <w:rFonts w:hint="eastAsia" w:ascii="宋体" w:hAnsi="宋体" w:eastAsia="宋体" w:cs="宋体"/>
          <w:color w:val="000000"/>
          <w:kern w:val="0"/>
          <w:sz w:val="21"/>
          <w:szCs w:val="21"/>
          <w:highlight w:val="none"/>
          <w:lang w:val="en-US" w:eastAsia="zh-CN" w:bidi="ar-SA"/>
        </w:rPr>
        <w:t>（10）</w:t>
      </w:r>
      <w:r>
        <w:rPr>
          <w:rFonts w:hint="eastAsia" w:ascii="宋体" w:hAnsi="宋体" w:cs="宋体"/>
          <w:color w:val="000000"/>
          <w:kern w:val="0"/>
          <w:sz w:val="21"/>
          <w:szCs w:val="21"/>
          <w:highlight w:val="none"/>
          <w:lang w:val="en-US" w:eastAsia="zh-CN" w:bidi="ar-SA"/>
        </w:rPr>
        <w:t>乙方</w:t>
      </w:r>
      <w:r>
        <w:rPr>
          <w:rFonts w:hint="eastAsia" w:ascii="宋体" w:hAnsi="宋体" w:eastAsia="宋体" w:cs="宋体"/>
          <w:color w:val="000000"/>
          <w:kern w:val="0"/>
          <w:sz w:val="21"/>
          <w:szCs w:val="21"/>
          <w:highlight w:val="none"/>
          <w:lang w:val="en-US" w:eastAsia="zh-CN" w:bidi="ar-SA"/>
        </w:rPr>
        <w:t>严重违反合同约定、法律法规，造成</w:t>
      </w:r>
      <w:r>
        <w:rPr>
          <w:rFonts w:hint="eastAsia" w:ascii="宋体" w:hAnsi="宋体" w:cs="宋体"/>
          <w:color w:val="000000"/>
          <w:kern w:val="0"/>
          <w:sz w:val="21"/>
          <w:szCs w:val="21"/>
          <w:highlight w:val="none"/>
          <w:lang w:val="en-US" w:eastAsia="zh-CN" w:bidi="ar-SA"/>
        </w:rPr>
        <w:t>甲方</w:t>
      </w:r>
      <w:r>
        <w:rPr>
          <w:rFonts w:hint="eastAsia" w:ascii="宋体" w:hAnsi="宋体" w:eastAsia="宋体" w:cs="宋体"/>
          <w:color w:val="000000"/>
          <w:kern w:val="0"/>
          <w:sz w:val="21"/>
          <w:szCs w:val="21"/>
          <w:highlight w:val="none"/>
          <w:lang w:val="en-US" w:eastAsia="zh-CN" w:bidi="ar-SA"/>
        </w:rPr>
        <w:t>重大声誉损失、经济损失的其他情形。</w:t>
      </w:r>
    </w:p>
    <w:p w14:paraId="539C780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13.服务期间，</w:t>
      </w:r>
      <w:r>
        <w:rPr>
          <w:rFonts w:hint="eastAsia" w:ascii="宋体" w:hAnsi="宋体" w:cs="宋体"/>
          <w:color w:val="000000"/>
          <w:kern w:val="0"/>
          <w:sz w:val="21"/>
          <w:szCs w:val="21"/>
          <w:highlight w:val="none"/>
          <w:lang w:val="en-US" w:eastAsia="zh-CN"/>
        </w:rPr>
        <w:t>乙方</w:t>
      </w:r>
      <w:r>
        <w:rPr>
          <w:rFonts w:hint="eastAsia" w:ascii="宋体" w:hAnsi="宋体" w:eastAsia="宋体" w:cs="宋体"/>
          <w:color w:val="000000"/>
          <w:kern w:val="0"/>
          <w:sz w:val="21"/>
          <w:szCs w:val="21"/>
          <w:highlight w:val="none"/>
          <w:lang w:val="en-US" w:eastAsia="zh-CN"/>
        </w:rPr>
        <w:t>如需对</w:t>
      </w:r>
      <w:r>
        <w:rPr>
          <w:rFonts w:hint="eastAsia" w:ascii="宋体" w:hAnsi="宋体" w:cs="宋体"/>
          <w:color w:val="000000"/>
          <w:kern w:val="0"/>
          <w:sz w:val="21"/>
          <w:szCs w:val="21"/>
          <w:highlight w:val="none"/>
          <w:lang w:val="en-US" w:eastAsia="zh-CN"/>
        </w:rPr>
        <w:t>甲方</w:t>
      </w:r>
      <w:r>
        <w:rPr>
          <w:rFonts w:hint="eastAsia" w:ascii="宋体" w:hAnsi="宋体" w:eastAsia="宋体" w:cs="宋体"/>
          <w:color w:val="000000"/>
          <w:kern w:val="0"/>
          <w:sz w:val="21"/>
          <w:szCs w:val="21"/>
          <w:highlight w:val="none"/>
          <w:lang w:val="en-US" w:eastAsia="zh-CN"/>
        </w:rPr>
        <w:t>配置的设备、设施、餐饮用具进行更新添置，必须向</w:t>
      </w:r>
      <w:r>
        <w:rPr>
          <w:rFonts w:hint="eastAsia" w:ascii="宋体" w:hAnsi="宋体" w:cs="宋体"/>
          <w:color w:val="000000"/>
          <w:kern w:val="0"/>
          <w:sz w:val="21"/>
          <w:szCs w:val="21"/>
          <w:highlight w:val="none"/>
          <w:lang w:val="en-US" w:eastAsia="zh-CN"/>
        </w:rPr>
        <w:t>甲方</w:t>
      </w:r>
      <w:r>
        <w:rPr>
          <w:rFonts w:hint="eastAsia" w:ascii="宋体" w:hAnsi="宋体" w:eastAsia="宋体" w:cs="宋体"/>
          <w:color w:val="000000"/>
          <w:kern w:val="0"/>
          <w:sz w:val="21"/>
          <w:szCs w:val="21"/>
          <w:highlight w:val="none"/>
          <w:lang w:val="en-US" w:eastAsia="zh-CN"/>
        </w:rPr>
        <w:t>提出书面申请，经</w:t>
      </w:r>
      <w:r>
        <w:rPr>
          <w:rFonts w:hint="eastAsia" w:ascii="宋体" w:hAnsi="宋体" w:cs="宋体"/>
          <w:color w:val="000000"/>
          <w:kern w:val="0"/>
          <w:sz w:val="21"/>
          <w:szCs w:val="21"/>
          <w:highlight w:val="none"/>
          <w:lang w:val="en-US" w:eastAsia="zh-CN"/>
        </w:rPr>
        <w:t>甲方</w:t>
      </w:r>
      <w:r>
        <w:rPr>
          <w:rFonts w:hint="eastAsia" w:ascii="宋体" w:hAnsi="宋体" w:eastAsia="宋体" w:cs="宋体"/>
          <w:color w:val="000000"/>
          <w:kern w:val="0"/>
          <w:sz w:val="21"/>
          <w:szCs w:val="21"/>
          <w:highlight w:val="none"/>
          <w:lang w:val="en-US" w:eastAsia="zh-CN"/>
        </w:rPr>
        <w:t>审核同意，由</w:t>
      </w:r>
      <w:r>
        <w:rPr>
          <w:rFonts w:hint="eastAsia" w:ascii="宋体" w:hAnsi="宋体" w:cs="宋体"/>
          <w:color w:val="000000"/>
          <w:kern w:val="0"/>
          <w:sz w:val="21"/>
          <w:szCs w:val="21"/>
          <w:highlight w:val="none"/>
          <w:lang w:val="en-US" w:eastAsia="zh-CN"/>
        </w:rPr>
        <w:t>甲方</w:t>
      </w:r>
      <w:r>
        <w:rPr>
          <w:rFonts w:hint="eastAsia" w:ascii="宋体" w:hAnsi="宋体" w:eastAsia="宋体" w:cs="宋体"/>
          <w:color w:val="000000"/>
          <w:kern w:val="0"/>
          <w:sz w:val="21"/>
          <w:szCs w:val="21"/>
          <w:highlight w:val="none"/>
          <w:lang w:val="en-US" w:eastAsia="zh-CN"/>
        </w:rPr>
        <w:t>负责购置。需要维修可报食堂管理办公室。</w:t>
      </w:r>
    </w:p>
    <w:p w14:paraId="0E534AE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14.做好工作范围内的清洁卫生工作，做到窗明几净，就餐用具严格清洗消毒，剩饭剩菜及时处理，餐饮垃圾及时装袋密封送至垃圾房，做到工完场清、日产日清。妥善处理生产过程中产生的垃圾、废料（如包装物、废菜叶等）</w:t>
      </w:r>
      <w:r>
        <w:rPr>
          <w:rFonts w:hint="eastAsia" w:ascii="宋体" w:hAnsi="宋体" w:eastAsia="宋体" w:cs="宋体"/>
          <w:kern w:val="0"/>
          <w:sz w:val="21"/>
          <w:szCs w:val="21"/>
          <w:highlight w:val="none"/>
          <w:lang w:val="en-US" w:eastAsia="zh-CN"/>
        </w:rPr>
        <w:t>，保证不出现浪费、污染等情况。</w:t>
      </w:r>
    </w:p>
    <w:p w14:paraId="199F018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15.标准化工作要求</w:t>
      </w:r>
    </w:p>
    <w:p w14:paraId="1A18922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服务期间，乙方须按甲方推进标准化工作的部署和要求，严格执行各环节标准作业流程，明确每道工序的操作规范、质量要求和完成时限，建立常用菜品标准，建立常态化标准化培训机制，持续推动服务和管理标准的落地实施，吸纳先进管理经验，定期梳理标准执行中的问题并优化完善，注重总结提炼可复制、可推广的做法，持续提升服务和管理标准化水平，为全市机关事业单位提供借鉴，发挥行业指导作用。</w:t>
      </w:r>
    </w:p>
    <w:p w14:paraId="67B75B90">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contextualSpacing/>
        <w:jc w:val="left"/>
        <w:textAlignment w:val="auto"/>
        <w:outlineLvl w:val="1"/>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（三）岗位配置及人员要求</w:t>
      </w:r>
    </w:p>
    <w:p w14:paraId="56F486A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1.岗位配置及人员要求</w:t>
      </w:r>
    </w:p>
    <w:p w14:paraId="6B169210">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default"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根据项目岗位安排，配置的项目人员总数不得低于38人，其中项目负责人（兼食品安全总监）1人、厨师长1人、厨师至少5人、点心师至少3人、点心辅助工至少3人、面档工至少2人、拣洗切配员至少8人、服务员至少8人、洗碗保洁员至少6人、</w:t>
      </w:r>
      <w:r>
        <w:rPr>
          <w:rFonts w:hint="eastAsia" w:ascii="宋体" w:hAnsi="宋体" w:cs="宋体"/>
          <w:b/>
          <w:bCs/>
          <w:kern w:val="0"/>
          <w:sz w:val="21"/>
          <w:szCs w:val="21"/>
          <w:highlight w:val="none"/>
          <w:lang w:val="en-US" w:eastAsia="zh-CN"/>
        </w:rPr>
        <w:t>食堂安全管理员</w:t>
      </w:r>
      <w:r>
        <w:rPr>
          <w:rFonts w:hint="eastAsia" w:ascii="宋体" w:hAnsi="宋体" w:eastAsia="宋体" w:cs="宋体"/>
          <w:b/>
          <w:bCs/>
          <w:kern w:val="0"/>
          <w:sz w:val="21"/>
          <w:szCs w:val="21"/>
          <w:highlight w:val="none"/>
          <w:lang w:val="en-US" w:eastAsia="zh-CN"/>
        </w:rPr>
        <w:t>1人。</w:t>
      </w:r>
      <w:r>
        <w:rPr>
          <w:rFonts w:hint="eastAsia" w:ascii="宋体" w:hAnsi="宋体" w:cs="宋体"/>
          <w:b/>
          <w:bCs/>
          <w:kern w:val="0"/>
          <w:sz w:val="21"/>
          <w:szCs w:val="21"/>
          <w:highlight w:val="none"/>
          <w:lang w:val="en-US" w:eastAsia="zh-CN"/>
        </w:rPr>
        <w:t>乙方配备项目人员情况详见附件1：人员配置表。</w:t>
      </w:r>
    </w:p>
    <w:p w14:paraId="4CA6ABC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2.人员必须相对固定，未经</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同意，不得随意更换相关服务人员。除特殊情况外不得使用临时工代替。</w:t>
      </w:r>
    </w:p>
    <w:p w14:paraId="56FBFA3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3.所有工作人员必须身体健康，政治思想好，业务素质和工作责任心强，具备相应的能力和经验，经过岗前培训合格才能上岗。</w:t>
      </w:r>
    </w:p>
    <w:p w14:paraId="25F03D7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4.服务期间，</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对员工的安全负责，如因安全作业或安全预防措施不到位，造成的一切安全责任由</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承担，与</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无关。</w:t>
      </w:r>
    </w:p>
    <w:p w14:paraId="77D103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所有员工必须根据岗位要求持证上岗（包括相关必要的从业资格证书及有效健康证），注重个人卫生，上班期间必须穿统一的工作服，戴工作帽、工号牌，</w:t>
      </w:r>
      <w:r>
        <w:rPr>
          <w:rFonts w:hint="eastAsia" w:ascii="宋体" w:hAnsi="宋体" w:cs="宋体"/>
          <w:kern w:val="0"/>
          <w:sz w:val="21"/>
          <w:szCs w:val="21"/>
          <w:highlight w:val="none"/>
          <w:lang w:val="en-US" w:eastAsia="zh-CN"/>
        </w:rPr>
        <w:t>要求所有工作人员</w:t>
      </w:r>
      <w:r>
        <w:rPr>
          <w:rFonts w:hint="eastAsia" w:ascii="宋体" w:hAnsi="宋体" w:eastAsia="宋体" w:cs="宋体"/>
          <w:kern w:val="0"/>
          <w:sz w:val="21"/>
          <w:szCs w:val="21"/>
          <w:highlight w:val="none"/>
          <w:lang w:val="en-US" w:eastAsia="zh-CN"/>
        </w:rPr>
        <w:t>必须戴口罩</w:t>
      </w:r>
      <w:r>
        <w:rPr>
          <w:rFonts w:hint="eastAsia" w:ascii="宋体" w:hAnsi="宋体" w:cs="宋体"/>
          <w:kern w:val="0"/>
          <w:sz w:val="21"/>
          <w:szCs w:val="21"/>
          <w:highlight w:val="none"/>
          <w:lang w:val="en-US" w:eastAsia="zh-CN"/>
        </w:rPr>
        <w:t>，其他相关岗位人员</w:t>
      </w:r>
      <w:r>
        <w:rPr>
          <w:rFonts w:hint="eastAsia" w:ascii="宋体" w:hAnsi="宋体" w:eastAsia="宋体" w:cs="宋体"/>
          <w:kern w:val="0"/>
          <w:sz w:val="21"/>
          <w:szCs w:val="21"/>
          <w:highlight w:val="none"/>
          <w:lang w:val="en-US" w:eastAsia="zh-CN"/>
        </w:rPr>
        <w:t>戴卫生手套。相关费用由</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承担。</w:t>
      </w:r>
    </w:p>
    <w:p w14:paraId="10F7D9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及其员工在销售过程中，不得收取现金，不得少刷卡多发菜，不得私拿、私吃餐厅物品、食品，否则</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有权进行处罚。</w:t>
      </w:r>
    </w:p>
    <w:p w14:paraId="115DC95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及其员工要自觉遵守</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的各项规章制度，遵纪守法，遵守职业道德，不得泄露任何公务秘密。</w:t>
      </w:r>
    </w:p>
    <w:p w14:paraId="455AE90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所有员工必须经过</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及相关管理部门的入职审核，未通过审核的员工，</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有权要求</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按法律法规予以更换或辞退。</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所有员工须报</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备案，自觉维护</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形象。</w:t>
      </w:r>
    </w:p>
    <w:p w14:paraId="43893BB5">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服务期间，关键岗位人员（即项目负责人、厨师长、厨师、点心师、面档工、</w:t>
      </w:r>
      <w:r>
        <w:rPr>
          <w:rFonts w:hint="eastAsia" w:ascii="宋体" w:hAnsi="宋体" w:cs="宋体"/>
          <w:b/>
          <w:bCs/>
          <w:kern w:val="0"/>
          <w:sz w:val="21"/>
          <w:szCs w:val="21"/>
          <w:highlight w:val="none"/>
          <w:lang w:val="en-US" w:eastAsia="zh-CN"/>
        </w:rPr>
        <w:t>食堂安全管理员</w:t>
      </w:r>
      <w:r>
        <w:rPr>
          <w:rFonts w:hint="eastAsia" w:ascii="宋体" w:hAnsi="宋体" w:eastAsia="宋体" w:cs="宋体"/>
          <w:b/>
          <w:bCs/>
          <w:kern w:val="0"/>
          <w:sz w:val="21"/>
          <w:szCs w:val="21"/>
          <w:highlight w:val="none"/>
          <w:lang w:val="en-US" w:eastAsia="zh-CN"/>
        </w:rPr>
        <w:t>岗位）调整</w:t>
      </w:r>
      <w:r>
        <w:rPr>
          <w:rFonts w:hint="eastAsia" w:ascii="宋体" w:hAnsi="宋体" w:cs="宋体"/>
          <w:b/>
          <w:bCs/>
          <w:kern w:val="0"/>
          <w:sz w:val="21"/>
          <w:szCs w:val="21"/>
          <w:highlight w:val="none"/>
          <w:lang w:val="en-US" w:eastAsia="zh-CN"/>
        </w:rPr>
        <w:t>须经甲方及相关管理部门同意</w:t>
      </w:r>
      <w:r>
        <w:rPr>
          <w:rFonts w:hint="eastAsia" w:ascii="宋体" w:hAnsi="宋体" w:eastAsia="宋体" w:cs="宋体"/>
          <w:b/>
          <w:bCs/>
          <w:kern w:val="0"/>
          <w:sz w:val="21"/>
          <w:szCs w:val="21"/>
          <w:highlight w:val="none"/>
          <w:lang w:val="en-US" w:eastAsia="zh-CN"/>
        </w:rPr>
        <w:t>，拟到岗人员经政审通过后方可上岗，</w:t>
      </w:r>
      <w:r>
        <w:rPr>
          <w:rFonts w:hint="eastAsia" w:ascii="宋体" w:hAnsi="宋体" w:cs="宋体"/>
          <w:b/>
          <w:bCs/>
          <w:kern w:val="0"/>
          <w:sz w:val="21"/>
          <w:szCs w:val="21"/>
          <w:highlight w:val="none"/>
          <w:lang w:val="en-US" w:eastAsia="zh-CN"/>
        </w:rPr>
        <w:t>乙方</w:t>
      </w:r>
      <w:r>
        <w:rPr>
          <w:rFonts w:hint="eastAsia" w:ascii="宋体" w:hAnsi="宋体" w:eastAsia="宋体" w:cs="宋体"/>
          <w:b/>
          <w:bCs/>
          <w:kern w:val="0"/>
          <w:sz w:val="21"/>
          <w:szCs w:val="21"/>
          <w:highlight w:val="none"/>
          <w:lang w:val="en-US" w:eastAsia="zh-CN"/>
        </w:rPr>
        <w:t>须将调整人员情况完整向</w:t>
      </w:r>
      <w:r>
        <w:rPr>
          <w:rFonts w:hint="eastAsia" w:ascii="宋体" w:hAnsi="宋体" w:cs="宋体"/>
          <w:b/>
          <w:bCs/>
          <w:kern w:val="0"/>
          <w:sz w:val="21"/>
          <w:szCs w:val="21"/>
          <w:highlight w:val="none"/>
          <w:lang w:val="en-US" w:eastAsia="zh-CN"/>
        </w:rPr>
        <w:t>甲方</w:t>
      </w:r>
      <w:r>
        <w:rPr>
          <w:rFonts w:hint="eastAsia" w:ascii="宋体" w:hAnsi="宋体" w:eastAsia="宋体" w:cs="宋体"/>
          <w:b/>
          <w:bCs/>
          <w:kern w:val="0"/>
          <w:sz w:val="21"/>
          <w:szCs w:val="21"/>
          <w:highlight w:val="none"/>
          <w:lang w:val="en-US" w:eastAsia="zh-CN"/>
        </w:rPr>
        <w:t>报备。</w:t>
      </w:r>
    </w:p>
    <w:p w14:paraId="44015D6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必须严格按照《中华人民共和国劳动法》及相关规定，规范用工及支付职工薪酬，必须符合本地最低工资标准和社会保险缴费要求，不得拖欠克扣员工应有待遇，确保职工的相关权益，从而保证用工合法性和人员队伍稳定性。如因用工不规范或薪酬问题等产生的纠纷与</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无关，由</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负责解决。如发生债权、债务纠纷和工伤等责任事故，均由</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负责承担。</w:t>
      </w:r>
    </w:p>
    <w:p w14:paraId="3A4A5B39">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contextualSpacing/>
        <w:jc w:val="left"/>
        <w:textAlignment w:val="auto"/>
        <w:outlineLvl w:val="1"/>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（四）服务标准</w:t>
      </w:r>
    </w:p>
    <w:p w14:paraId="1DC846B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1.服务热情、耐心、细致，语言文明礼貌，态度亲切友好；仪容仪表端庄大方，干净整洁，着装规范。</w:t>
      </w:r>
    </w:p>
    <w:p w14:paraId="29222D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2.服务技能娴熟，工作效率高，分菜快速均匀，刷卡结算快速准确；按规定时间提供餐饮服务。</w:t>
      </w:r>
    </w:p>
    <w:p w14:paraId="4CB9183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3.菜品品种丰富，定期更新菜品，积极创新菜肴品种，每月推出一款新品菜肴，根据季节变化推出适宜菜品。</w:t>
      </w:r>
    </w:p>
    <w:p w14:paraId="009E06B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严格把控食材质量，强化原材料质量控制；加强食品保存管理，食品生熟分开存放，成品半成品加膜加盖存放；强化菜品制作流程监管，拣洗干净，无黄叶、草、虫、杂物等，菜品半成品丝、片、块、段均匀，符合标准。</w:t>
      </w:r>
    </w:p>
    <w:p w14:paraId="7D89DBD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精心组织厨房生产，严控菜品质量，菜品主辅料配比、调味品配比科学合理，菜品成品色、香、味、型俱佳，荤素品种搭配合理；保证饭菜供应，每天制作包子、水饺和馄饨等点心数量不得低于规定标准，点心成品造型美观、馅心口味合适，服务时间内保证饭菜供应充足，不得出现断供现象。</w:t>
      </w:r>
    </w:p>
    <w:p w14:paraId="569204C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6.严格控制菜品单次烹饪数量，蔬菜类菜品一次烹饪完成，衔接时间控制合理，不得出现菜品出锅时间过长、菜品不新鲜或大量浪费现象；注重现场菜品保温管理，及时按规定加热，不得出现冷饭冷菜现象。</w:t>
      </w:r>
    </w:p>
    <w:p w14:paraId="164CB64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7.餐厅环境卫生干净明亮、整洁有序，大厅天花板、装饰物、墙壁及门窗无污迹，桌椅无污迹油迹，服务台面、垃圾桶表面、服务台玻璃表面无污迹油迹；餐厅内无蚊蝇、蟑螂、老鼠等。</w:t>
      </w:r>
    </w:p>
    <w:p w14:paraId="741C163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8.厨房环境干净整洁，工作区无杂物，物品按规定归类定位放置，收工后及时整理清洁厨房地面、炉灶；泔水、垃圾等废弃物应按规定存放，当餐及时清除，无明显异味。</w:t>
      </w:r>
    </w:p>
    <w:p w14:paraId="7E7FC7A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加强员工健康及卫生管理，身体健康及穿戴符合要求。员工不得化浓妆、不得使用气味怪异或浓烈香水，不得留长指甲、涂指甲油，男同志不得留长发、长胡须；熟食品操作、传菜及服务人员应按规定佩戴一次性手套、口罩；员工有发热、腹泻等有碍食品卫生病症的，应及时调离工作岗位。</w:t>
      </w:r>
    </w:p>
    <w:p w14:paraId="78167A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厨房物品按要求管理到位，加工现场井然有序。收工后刀具及砧板应及时清洗干净，按规定侧放或悬挂；调味品使用后应按规定管理，调味罐周边清理干净整洁；烹调用具、清洁用具及车辆使用后应及时清洗干净，按规定位置归放。</w:t>
      </w:r>
    </w:p>
    <w:p w14:paraId="487BD19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11.储物柜、盛器、容器、餐具管理规范，干净整洁卫生。储物柜内物品摆放整齐有序，按规定贴好标识；盛器、容器应清洗干净，无污迹；餐具应清洗干净，用纱布覆盖分类平整堆放，无污迹水迹。</w:t>
      </w:r>
    </w:p>
    <w:p w14:paraId="5544BAD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12.做好食品留样及记录工作，不得不留或漏留，不得不记录或记录不全；按规定使用调味品及添加剂。</w:t>
      </w:r>
    </w:p>
    <w:p w14:paraId="3F07B4F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宋体"/>
          <w:color w:val="auto"/>
          <w:kern w:val="2"/>
          <w:highlight w:val="none"/>
        </w:rPr>
      </w:pPr>
      <w:r>
        <w:rPr>
          <w:rFonts w:hint="eastAsia" w:ascii="宋体" w:hAnsi="宋体" w:eastAsia="宋体" w:cs="宋体"/>
          <w:kern w:val="0"/>
          <w:sz w:val="21"/>
          <w:szCs w:val="21"/>
          <w:highlight w:val="none"/>
          <w:lang w:val="en-US" w:eastAsia="zh-CN"/>
        </w:rPr>
        <w:t>13.加强工作服务区域安全管理，杜绝安全事故。天然气使用过程中现场必须有人员在场，餐后及时关闭水电气开关，熟练掌握现场灭火器使用方法，服务时间结束后及时锁闭餐厅门窗。</w:t>
      </w:r>
    </w:p>
    <w:p w14:paraId="4EF43A5F">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contextualSpacing/>
        <w:jc w:val="left"/>
        <w:textAlignment w:val="auto"/>
        <w:outlineLvl w:val="1"/>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（五）其他</w:t>
      </w:r>
      <w:r>
        <w:rPr>
          <w:rFonts w:hint="eastAsia" w:ascii="宋体" w:hAnsi="宋体" w:cs="宋体"/>
          <w:b/>
          <w:bCs/>
          <w:color w:val="000000"/>
          <w:kern w:val="0"/>
          <w:sz w:val="21"/>
          <w:szCs w:val="21"/>
          <w:highlight w:val="none"/>
          <w:lang w:val="en-US" w:eastAsia="zh-CN"/>
        </w:rPr>
        <w:t>要求</w:t>
      </w:r>
    </w:p>
    <w:p w14:paraId="16EB898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向</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提供必要的办公用房，提供餐厅所需水、电、气，并承担其费用。</w:t>
      </w:r>
    </w:p>
    <w:p w14:paraId="743BE11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提供</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在服务管理过程中餐厅所需的低值易耗品（抹布、拖把、笤帚、餐巾纸、</w:t>
      </w:r>
      <w:r>
        <w:rPr>
          <w:rFonts w:hint="eastAsia" w:ascii="宋体" w:hAnsi="宋体" w:cs="宋体"/>
          <w:kern w:val="0"/>
          <w:sz w:val="21"/>
          <w:szCs w:val="21"/>
          <w:highlight w:val="none"/>
          <w:lang w:val="en-US" w:eastAsia="zh-CN"/>
        </w:rPr>
        <w:t>洗涤剂</w:t>
      </w:r>
      <w:r>
        <w:rPr>
          <w:rFonts w:hint="eastAsia" w:ascii="宋体" w:hAnsi="宋体" w:eastAsia="宋体" w:cs="宋体"/>
          <w:kern w:val="0"/>
          <w:sz w:val="21"/>
          <w:szCs w:val="21"/>
          <w:highlight w:val="none"/>
          <w:lang w:val="en-US" w:eastAsia="zh-CN"/>
        </w:rPr>
        <w:t>等）。</w:t>
      </w:r>
    </w:p>
    <w:p w14:paraId="7F5B838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对</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服务管理工作进行管理、协调、督查和考核。</w:t>
      </w:r>
    </w:p>
    <w:p w14:paraId="0017B77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未能达到采购文件规定的服务管理标准，</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有权要求</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限期进行整改，逾期未整改的，</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有权终止合同。</w:t>
      </w:r>
    </w:p>
    <w:p w14:paraId="149B5F4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如提供不在采购文件范围内的项目按实另行计费。</w:t>
      </w:r>
    </w:p>
    <w:p w14:paraId="5890552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6.工作时间内，为</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餐厅员工提供免费</w:t>
      </w:r>
      <w:r>
        <w:rPr>
          <w:rFonts w:hint="eastAsia" w:ascii="宋体" w:hAnsi="宋体" w:cs="宋体"/>
          <w:kern w:val="0"/>
          <w:sz w:val="21"/>
          <w:szCs w:val="21"/>
          <w:highlight w:val="none"/>
          <w:lang w:val="en-US" w:eastAsia="zh-CN"/>
        </w:rPr>
        <w:t>餐线</w:t>
      </w:r>
      <w:r>
        <w:rPr>
          <w:rFonts w:hint="eastAsia" w:ascii="宋体" w:hAnsi="宋体" w:eastAsia="宋体" w:cs="宋体"/>
          <w:kern w:val="0"/>
          <w:sz w:val="21"/>
          <w:szCs w:val="21"/>
          <w:highlight w:val="none"/>
          <w:lang w:val="en-US" w:eastAsia="zh-CN"/>
        </w:rPr>
        <w:t>简餐。</w:t>
      </w:r>
    </w:p>
    <w:p w14:paraId="2EC0588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7.服务期间，如国家发布最低基本工资和最低社会保险缴纳基数标准等规定，</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应保障服务人员的基本法定待遇，但</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并不为此支付增加的有关费用。</w:t>
      </w:r>
    </w:p>
    <w:p w14:paraId="4FC8160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服务期满，乙方不再继续服务，在新的服务单位接管相应的服务管理工作前，除甲方要求乙方提前撤离外，新老服务单位的交接过渡期原则上最长为1个月，在此期间乙方应继续提供相应服务及管理，过渡期服务标准和服务费用标准不变，由乙方收取；1个月过渡期满后，必须按规定进行交接撤离；但如遇特殊情况甲方需要延长交接过渡期的，乙方应积极配合甲方完成相应延长交接过渡事宜。</w:t>
      </w:r>
    </w:p>
    <w:p w14:paraId="5D41B26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根据</w:t>
      </w:r>
      <w:r>
        <w:rPr>
          <w:rFonts w:hint="eastAsia" w:ascii="宋体" w:hAnsi="宋体" w:cs="宋体"/>
          <w:sz w:val="21"/>
          <w:szCs w:val="21"/>
          <w:highlight w:val="none"/>
          <w:lang w:eastAsia="zh-CN"/>
        </w:rPr>
        <w:t>甲方</w:t>
      </w:r>
      <w:r>
        <w:rPr>
          <w:rFonts w:hint="eastAsia" w:ascii="宋体" w:hAnsi="宋体" w:eastAsia="宋体" w:cs="宋体"/>
          <w:sz w:val="21"/>
          <w:szCs w:val="21"/>
          <w:highlight w:val="none"/>
        </w:rPr>
        <w:t>工作需要，</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应安排好双休日及节假日服务人员。</w:t>
      </w:r>
    </w:p>
    <w:p w14:paraId="7631FD6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必须根据</w:t>
      </w:r>
      <w:r>
        <w:rPr>
          <w:rFonts w:hint="eastAsia" w:ascii="宋体" w:hAnsi="宋体" w:eastAsia="宋体" w:cs="宋体"/>
          <w:sz w:val="21"/>
          <w:szCs w:val="21"/>
          <w:highlight w:val="none"/>
          <w:lang w:eastAsia="zh-CN"/>
        </w:rPr>
        <w:t>招标文件</w:t>
      </w:r>
      <w:r>
        <w:rPr>
          <w:rFonts w:hint="eastAsia" w:ascii="宋体" w:hAnsi="宋体" w:eastAsia="宋体" w:cs="宋体"/>
          <w:sz w:val="21"/>
          <w:szCs w:val="21"/>
          <w:highlight w:val="none"/>
        </w:rPr>
        <w:t>提供各项管理标准，岗位职责及工作程序，自查考核和服务承诺；必须遵守</w:t>
      </w:r>
      <w:r>
        <w:rPr>
          <w:rFonts w:hint="eastAsia" w:ascii="宋体" w:hAnsi="宋体" w:cs="宋体"/>
          <w:sz w:val="21"/>
          <w:szCs w:val="21"/>
          <w:highlight w:val="none"/>
          <w:lang w:eastAsia="zh-CN"/>
        </w:rPr>
        <w:t>甲方</w:t>
      </w:r>
      <w:r>
        <w:rPr>
          <w:rFonts w:hint="eastAsia" w:ascii="宋体" w:hAnsi="宋体" w:eastAsia="宋体" w:cs="宋体"/>
          <w:sz w:val="21"/>
          <w:szCs w:val="21"/>
          <w:highlight w:val="none"/>
        </w:rPr>
        <w:t>各项制度和管理规定，并服从</w:t>
      </w:r>
      <w:r>
        <w:rPr>
          <w:rFonts w:hint="eastAsia" w:ascii="宋体" w:hAnsi="宋体" w:cs="宋体"/>
          <w:sz w:val="21"/>
          <w:szCs w:val="21"/>
          <w:highlight w:val="none"/>
          <w:lang w:eastAsia="zh-CN"/>
        </w:rPr>
        <w:t>甲方</w:t>
      </w:r>
      <w:r>
        <w:rPr>
          <w:rFonts w:hint="eastAsia" w:ascii="宋体" w:hAnsi="宋体" w:eastAsia="宋体" w:cs="宋体"/>
          <w:sz w:val="21"/>
          <w:szCs w:val="21"/>
          <w:highlight w:val="none"/>
        </w:rPr>
        <w:t>的管理。</w:t>
      </w:r>
    </w:p>
    <w:p w14:paraId="7CAF551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如出现</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自身管理或</w:t>
      </w:r>
      <w:r>
        <w:rPr>
          <w:rFonts w:hint="eastAsia" w:ascii="宋体" w:hAnsi="宋体" w:cs="宋体"/>
          <w:sz w:val="21"/>
          <w:szCs w:val="21"/>
          <w:highlight w:val="none"/>
          <w:lang w:eastAsia="zh-CN"/>
        </w:rPr>
        <w:t>沟通不力</w:t>
      </w:r>
      <w:r>
        <w:rPr>
          <w:rFonts w:hint="eastAsia" w:ascii="宋体" w:hAnsi="宋体" w:eastAsia="宋体" w:cs="宋体"/>
          <w:sz w:val="21"/>
          <w:szCs w:val="21"/>
          <w:highlight w:val="none"/>
        </w:rPr>
        <w:t>使员工通过各类渠道或以其他方式对</w:t>
      </w:r>
      <w:r>
        <w:rPr>
          <w:rFonts w:hint="eastAsia" w:ascii="宋体" w:hAnsi="宋体" w:cs="宋体"/>
          <w:sz w:val="21"/>
          <w:szCs w:val="21"/>
          <w:highlight w:val="none"/>
          <w:lang w:eastAsia="zh-CN"/>
        </w:rPr>
        <w:t>甲方</w:t>
      </w:r>
      <w:r>
        <w:rPr>
          <w:rFonts w:hint="eastAsia" w:ascii="宋体" w:hAnsi="宋体" w:eastAsia="宋体" w:cs="宋体"/>
          <w:sz w:val="21"/>
          <w:szCs w:val="21"/>
          <w:highlight w:val="none"/>
        </w:rPr>
        <w:t>的声誉造成不利影响，以及因</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服务质量或员工素质等原因有损</w:t>
      </w:r>
      <w:r>
        <w:rPr>
          <w:rFonts w:hint="eastAsia" w:ascii="宋体" w:hAnsi="宋体" w:cs="宋体"/>
          <w:sz w:val="21"/>
          <w:szCs w:val="21"/>
          <w:highlight w:val="none"/>
          <w:lang w:eastAsia="zh-CN"/>
        </w:rPr>
        <w:t>甲方</w:t>
      </w:r>
      <w:r>
        <w:rPr>
          <w:rFonts w:hint="eastAsia" w:ascii="宋体" w:hAnsi="宋体" w:eastAsia="宋体" w:cs="宋体"/>
          <w:sz w:val="21"/>
          <w:szCs w:val="21"/>
          <w:highlight w:val="none"/>
        </w:rPr>
        <w:t>的社会公众形象、口碑等情况，</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必须第一时间负责将不利影响降到最低并及时妥善处理，同时承担由此造成的声誉损失后果。</w:t>
      </w:r>
      <w:r>
        <w:rPr>
          <w:rFonts w:hint="eastAsia" w:ascii="宋体" w:hAnsi="宋体" w:cs="宋体"/>
          <w:sz w:val="21"/>
          <w:szCs w:val="21"/>
          <w:highlight w:val="none"/>
          <w:lang w:eastAsia="zh-CN"/>
        </w:rPr>
        <w:t>甲方</w:t>
      </w:r>
      <w:r>
        <w:rPr>
          <w:rFonts w:hint="eastAsia" w:ascii="宋体" w:hAnsi="宋体" w:eastAsia="宋体" w:cs="宋体"/>
          <w:sz w:val="21"/>
          <w:szCs w:val="21"/>
          <w:highlight w:val="none"/>
        </w:rPr>
        <w:t>保留从经济、法律或其他形式向</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追究责任的权利。</w:t>
      </w:r>
    </w:p>
    <w:p w14:paraId="419E1E9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12.</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擅自将服务合同转包给第三人的或委托其他单位经营管理的，以及</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违反法律法规、规章或其他相关规范性文件的规定，影响合同履行的，</w:t>
      </w:r>
      <w:r>
        <w:rPr>
          <w:rFonts w:hint="eastAsia" w:ascii="宋体" w:hAnsi="宋体" w:cs="宋体"/>
          <w:sz w:val="21"/>
          <w:szCs w:val="21"/>
          <w:highlight w:val="none"/>
          <w:lang w:eastAsia="zh-CN"/>
        </w:rPr>
        <w:t>甲方</w:t>
      </w:r>
      <w:r>
        <w:rPr>
          <w:rFonts w:hint="eastAsia" w:ascii="宋体" w:hAnsi="宋体" w:eastAsia="宋体" w:cs="宋体"/>
          <w:sz w:val="21"/>
          <w:szCs w:val="21"/>
          <w:highlight w:val="none"/>
        </w:rPr>
        <w:t>有权无条件终止本项目合同而无须向</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支付任何费用或承担其他任何责任，由此产生的经济损失和法律责任均由</w:t>
      </w: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承担。</w:t>
      </w:r>
    </w:p>
    <w:p w14:paraId="72D472BF">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contextualSpacing/>
        <w:jc w:val="left"/>
        <w:textAlignment w:val="auto"/>
        <w:outlineLvl w:val="1"/>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（六）安全管理</w:t>
      </w:r>
    </w:p>
    <w:p w14:paraId="3C89315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安全生产目标</w:t>
      </w:r>
    </w:p>
    <w:p w14:paraId="197422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应本着“安全第一、预防为主、综合治理”的安全生产目标，落实安全生产责任制，保障</w:t>
      </w:r>
      <w:r>
        <w:rPr>
          <w:rFonts w:hint="eastAsia" w:ascii="宋体" w:hAnsi="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lang w:val="en-US" w:eastAsia="zh-CN"/>
        </w:rPr>
        <w:t>、就餐人员及相关方</w:t>
      </w:r>
      <w:r>
        <w:rPr>
          <w:rFonts w:hint="eastAsia" w:ascii="宋体" w:hAnsi="宋体" w:eastAsia="宋体" w:cs="宋体"/>
          <w:b w:val="0"/>
          <w:bCs w:val="0"/>
          <w:color w:val="auto"/>
          <w:sz w:val="21"/>
          <w:szCs w:val="21"/>
          <w:highlight w:val="none"/>
        </w:rPr>
        <w:t>的</w:t>
      </w:r>
      <w:r>
        <w:rPr>
          <w:rFonts w:hint="eastAsia" w:ascii="宋体" w:hAnsi="宋体" w:eastAsia="宋体" w:cs="宋体"/>
          <w:b w:val="0"/>
          <w:bCs w:val="0"/>
          <w:color w:val="auto"/>
          <w:sz w:val="21"/>
          <w:szCs w:val="21"/>
          <w:highlight w:val="none"/>
          <w:lang w:val="en-US" w:eastAsia="zh-CN"/>
        </w:rPr>
        <w:t>人身、</w:t>
      </w:r>
      <w:r>
        <w:rPr>
          <w:rFonts w:hint="eastAsia" w:ascii="宋体" w:hAnsi="宋体" w:eastAsia="宋体" w:cs="宋体"/>
          <w:b w:val="0"/>
          <w:bCs w:val="0"/>
          <w:color w:val="auto"/>
          <w:sz w:val="21"/>
          <w:szCs w:val="21"/>
          <w:highlight w:val="none"/>
        </w:rPr>
        <w:t>财产安全。</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lang w:val="en-US" w:eastAsia="zh-CN"/>
        </w:rPr>
        <w:t>生产经营</w:t>
      </w:r>
      <w:r>
        <w:rPr>
          <w:rFonts w:hint="eastAsia" w:ascii="宋体" w:hAnsi="宋体" w:eastAsia="宋体" w:cs="宋体"/>
          <w:color w:val="auto"/>
          <w:sz w:val="21"/>
          <w:szCs w:val="21"/>
          <w:highlight w:val="none"/>
        </w:rPr>
        <w:t>现场及</w:t>
      </w:r>
      <w:r>
        <w:rPr>
          <w:rFonts w:hint="eastAsia" w:ascii="宋体" w:hAnsi="宋体" w:eastAsia="宋体" w:cs="宋体"/>
          <w:color w:val="auto"/>
          <w:sz w:val="21"/>
          <w:szCs w:val="21"/>
          <w:highlight w:val="none"/>
          <w:lang w:val="en-US" w:eastAsia="zh-CN"/>
        </w:rPr>
        <w:t>场所的</w:t>
      </w:r>
      <w:r>
        <w:rPr>
          <w:rFonts w:hint="eastAsia" w:ascii="宋体" w:hAnsi="宋体" w:eastAsia="宋体" w:cs="宋体"/>
          <w:color w:val="auto"/>
          <w:sz w:val="21"/>
          <w:szCs w:val="21"/>
          <w:highlight w:val="none"/>
        </w:rPr>
        <w:t>职业卫生、环境、水电气、消防、用工、交通安全等工作负全面管理的责任</w:t>
      </w:r>
      <w:r>
        <w:rPr>
          <w:rFonts w:hint="eastAsia" w:ascii="宋体" w:hAnsi="宋体" w:eastAsia="宋体" w:cs="宋体"/>
          <w:color w:val="auto"/>
          <w:sz w:val="21"/>
          <w:szCs w:val="21"/>
          <w:highlight w:val="none"/>
          <w:lang w:eastAsia="zh-CN"/>
        </w:rPr>
        <w:t>。</w:t>
      </w:r>
    </w:p>
    <w:p w14:paraId="050800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食品卫生安全管理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包括但不限于以下内容</w:t>
      </w:r>
      <w:r>
        <w:rPr>
          <w:rFonts w:hint="eastAsia" w:ascii="宋体" w:hAnsi="宋体" w:eastAsia="宋体" w:cs="宋体"/>
          <w:b w:val="0"/>
          <w:bCs w:val="0"/>
          <w:color w:val="auto"/>
          <w:sz w:val="21"/>
          <w:szCs w:val="21"/>
          <w:highlight w:val="none"/>
          <w:lang w:eastAsia="zh-CN"/>
        </w:rPr>
        <w:t>）</w:t>
      </w:r>
    </w:p>
    <w:p w14:paraId="2C40FEB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烹饪食品要做到生熟分开，分类寄存，不得混放，以确保食品味美纯正。操作时要分台、分池操作，以免交叉污染；蔬菜类要按一拣、二洗、三切、四浸泡的顺序操作。</w:t>
      </w:r>
    </w:p>
    <w:p w14:paraId="10E0898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必须加强对食品原料及各类调味品的管理和检验，保证食品原料和各类调味品符合国家卫生标准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保证食材、原材料、调味品、粮食等所有物品的使用安全及使用规范。</w:t>
      </w:r>
    </w:p>
    <w:p w14:paraId="606A8E8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（3）</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必须保证在食品原料烹饪前严格进行清洗</w:t>
      </w:r>
      <w:r>
        <w:rPr>
          <w:rFonts w:hint="eastAsia" w:ascii="宋体" w:hAnsi="宋体" w:eastAsia="宋体" w:cs="宋体"/>
          <w:b w:val="0"/>
          <w:bCs w:val="0"/>
          <w:color w:val="auto"/>
          <w:sz w:val="21"/>
          <w:szCs w:val="21"/>
          <w:highlight w:val="none"/>
          <w:lang w:val="en-US" w:eastAsia="zh-CN"/>
        </w:rPr>
        <w:t>消毒</w:t>
      </w:r>
      <w:r>
        <w:rPr>
          <w:rFonts w:hint="eastAsia" w:ascii="宋体" w:hAnsi="宋体" w:eastAsia="宋体" w:cs="宋体"/>
          <w:b w:val="0"/>
          <w:bCs w:val="0"/>
          <w:color w:val="auto"/>
          <w:sz w:val="21"/>
          <w:szCs w:val="21"/>
          <w:highlight w:val="none"/>
        </w:rPr>
        <w:t>，避免各类食品带“毒”下锅。</w:t>
      </w:r>
    </w:p>
    <w:p w14:paraId="50AC2E8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员工须持健康证方可上岗，并定期接受体检。在工作范围内不得随地吐痰、吸烟、留长指甲、涂口红等；工作时间中严禁谈笑打闹、不得在厨房内洗涤衣物。保持良好的卫生操作习惯，上班时穿好工作服，戴好标识牌、工帽、口罩，不得对食品咳嗽、打喷嚏及做</w:t>
      </w:r>
      <w:r>
        <w:rPr>
          <w:rFonts w:hint="eastAsia" w:ascii="宋体" w:hAnsi="宋体" w:cs="宋体"/>
          <w:b w:val="0"/>
          <w:bCs w:val="0"/>
          <w:color w:val="auto"/>
          <w:sz w:val="21"/>
          <w:szCs w:val="21"/>
          <w:highlight w:val="none"/>
          <w:lang w:eastAsia="zh-CN"/>
        </w:rPr>
        <w:t>其他</w:t>
      </w:r>
      <w:r>
        <w:rPr>
          <w:rFonts w:hint="eastAsia" w:ascii="宋体" w:hAnsi="宋体" w:eastAsia="宋体" w:cs="宋体"/>
          <w:b w:val="0"/>
          <w:bCs w:val="0"/>
          <w:color w:val="auto"/>
          <w:sz w:val="21"/>
          <w:szCs w:val="21"/>
          <w:highlight w:val="none"/>
        </w:rPr>
        <w:t>不卫生动作。</w:t>
      </w:r>
    </w:p>
    <w:p w14:paraId="636E750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若有食物中毒</w:t>
      </w:r>
      <w:r>
        <w:rPr>
          <w:rFonts w:hint="eastAsia" w:ascii="宋体" w:hAnsi="宋体" w:eastAsia="宋体" w:cs="宋体"/>
          <w:b w:val="0"/>
          <w:bCs w:val="0"/>
          <w:color w:val="auto"/>
          <w:sz w:val="21"/>
          <w:szCs w:val="21"/>
          <w:highlight w:val="none"/>
          <w:lang w:val="en-US" w:eastAsia="zh-CN"/>
        </w:rPr>
        <w:t>或食物污染等不良</w:t>
      </w:r>
      <w:r>
        <w:rPr>
          <w:rFonts w:hint="eastAsia" w:ascii="宋体" w:hAnsi="宋体" w:eastAsia="宋体" w:cs="宋体"/>
          <w:b w:val="0"/>
          <w:bCs w:val="0"/>
          <w:color w:val="auto"/>
          <w:sz w:val="21"/>
          <w:szCs w:val="21"/>
          <w:highlight w:val="none"/>
        </w:rPr>
        <w:t>情况出现时，</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需要立即停止食堂的生产活动，并</w:t>
      </w:r>
      <w:r>
        <w:rPr>
          <w:rFonts w:hint="eastAsia" w:ascii="宋体" w:hAnsi="宋体" w:eastAsia="宋体" w:cs="宋体"/>
          <w:b w:val="0"/>
          <w:bCs w:val="0"/>
          <w:color w:val="auto"/>
          <w:sz w:val="21"/>
          <w:szCs w:val="21"/>
          <w:highlight w:val="none"/>
          <w:lang w:val="en-US" w:eastAsia="zh-CN"/>
        </w:rPr>
        <w:t>为</w:t>
      </w:r>
      <w:r>
        <w:rPr>
          <w:rFonts w:hint="eastAsia" w:ascii="宋体" w:hAnsi="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lang w:val="en-US" w:eastAsia="zh-CN"/>
        </w:rPr>
        <w:t>就餐人员</w:t>
      </w:r>
      <w:r>
        <w:rPr>
          <w:rFonts w:hint="eastAsia" w:ascii="宋体" w:hAnsi="宋体" w:eastAsia="宋体" w:cs="宋体"/>
          <w:b w:val="0"/>
          <w:bCs w:val="0"/>
          <w:color w:val="auto"/>
          <w:sz w:val="21"/>
          <w:szCs w:val="21"/>
          <w:highlight w:val="none"/>
        </w:rPr>
        <w:t>寻找可以解决用餐的方式，随后向政府卫生</w:t>
      </w:r>
      <w:r>
        <w:rPr>
          <w:rFonts w:hint="eastAsia" w:ascii="宋体" w:hAnsi="宋体" w:eastAsia="宋体" w:cs="宋体"/>
          <w:b w:val="0"/>
          <w:bCs w:val="0"/>
          <w:color w:val="auto"/>
          <w:sz w:val="21"/>
          <w:szCs w:val="21"/>
          <w:highlight w:val="none"/>
          <w:lang w:val="en-US" w:eastAsia="zh-CN"/>
        </w:rPr>
        <w:t>部门</w:t>
      </w:r>
      <w:r>
        <w:rPr>
          <w:rFonts w:hint="eastAsia" w:ascii="宋体" w:hAnsi="宋体" w:eastAsia="宋体" w:cs="宋体"/>
          <w:b w:val="0"/>
          <w:bCs w:val="0"/>
          <w:color w:val="auto"/>
          <w:sz w:val="21"/>
          <w:szCs w:val="21"/>
          <w:highlight w:val="none"/>
        </w:rPr>
        <w:t>报告</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以最快速度将中毒人员送往附近医院，或拨打急救中心电话请求救助，积极配合协助卫生机构救助病人。</w:t>
      </w:r>
    </w:p>
    <w:p w14:paraId="704F52C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现场方面，需要采取紧急措施，保护好现场，封存一切剩余可疑食物及原料、工具、设备、保护好中毒现场和食品留样，无关人员不允许到操作间或留样处。未经允许，一切外来人员</w:t>
      </w:r>
      <w:r>
        <w:rPr>
          <w:rFonts w:hint="eastAsia" w:ascii="宋体" w:hAnsi="宋体" w:cs="宋体"/>
          <w:b w:val="0"/>
          <w:bCs w:val="0"/>
          <w:color w:val="auto"/>
          <w:sz w:val="21"/>
          <w:szCs w:val="21"/>
          <w:highlight w:val="none"/>
          <w:lang w:eastAsia="zh-CN"/>
        </w:rPr>
        <w:t>禁止进入操作区域</w:t>
      </w:r>
      <w:r>
        <w:rPr>
          <w:rFonts w:hint="eastAsia" w:ascii="宋体" w:hAnsi="宋体" w:eastAsia="宋体" w:cs="宋体"/>
          <w:b w:val="0"/>
          <w:bCs w:val="0"/>
          <w:color w:val="auto"/>
          <w:sz w:val="21"/>
          <w:szCs w:val="21"/>
          <w:highlight w:val="none"/>
        </w:rPr>
        <w:t>。防止人为的破坏现场，必须等候卫生部门处理后再酌情处理。</w:t>
      </w:r>
    </w:p>
    <w:p w14:paraId="3891949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要做到：不购进、</w:t>
      </w:r>
      <w:r>
        <w:rPr>
          <w:rFonts w:hint="eastAsia" w:ascii="宋体" w:hAnsi="宋体" w:eastAsia="宋体" w:cs="宋体"/>
          <w:b w:val="0"/>
          <w:bCs w:val="0"/>
          <w:color w:val="auto"/>
          <w:sz w:val="21"/>
          <w:szCs w:val="21"/>
          <w:highlight w:val="none"/>
          <w:lang w:val="en-US" w:eastAsia="zh-CN"/>
        </w:rPr>
        <w:t>不替换、</w:t>
      </w:r>
      <w:r>
        <w:rPr>
          <w:rFonts w:hint="eastAsia" w:ascii="宋体" w:hAnsi="宋体" w:eastAsia="宋体" w:cs="宋体"/>
          <w:b w:val="0"/>
          <w:bCs w:val="0"/>
          <w:color w:val="auto"/>
          <w:sz w:val="21"/>
          <w:szCs w:val="21"/>
          <w:highlight w:val="none"/>
        </w:rPr>
        <w:t>不加工、不出售腐烂变质、有毒、有害、超越保质期的食物。</w:t>
      </w:r>
    </w:p>
    <w:p w14:paraId="76B1222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（7）</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需要及时处置好废物，废物桶有</w:t>
      </w:r>
      <w:r>
        <w:rPr>
          <w:rFonts w:hint="eastAsia" w:ascii="宋体" w:hAnsi="宋体" w:eastAsia="宋体" w:cs="宋体"/>
          <w:b w:val="0"/>
          <w:bCs w:val="0"/>
          <w:color w:val="auto"/>
          <w:sz w:val="21"/>
          <w:szCs w:val="21"/>
          <w:highlight w:val="none"/>
          <w:lang w:val="en-US" w:eastAsia="zh-CN"/>
        </w:rPr>
        <w:t>具体</w:t>
      </w:r>
      <w:r>
        <w:rPr>
          <w:rFonts w:hint="eastAsia" w:ascii="宋体" w:hAnsi="宋体" w:eastAsia="宋体" w:cs="宋体"/>
          <w:b w:val="0"/>
          <w:bCs w:val="0"/>
          <w:color w:val="auto"/>
          <w:sz w:val="21"/>
          <w:szCs w:val="21"/>
          <w:highlight w:val="none"/>
        </w:rPr>
        <w:t>标识、并加盖。</w:t>
      </w:r>
    </w:p>
    <w:p w14:paraId="6DD9293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（8）</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需设立岗位责任制，所有日常用厨具、餐具每次使用过后都必须进行严格消毒，清洗</w:t>
      </w:r>
      <w:r>
        <w:rPr>
          <w:rFonts w:hint="eastAsia" w:ascii="宋体" w:hAnsi="宋体" w:eastAsia="宋体" w:cs="宋体"/>
          <w:color w:val="auto"/>
          <w:sz w:val="21"/>
          <w:szCs w:val="21"/>
          <w:highlight w:val="none"/>
          <w:lang w:val="en-US" w:eastAsia="zh-CN"/>
        </w:rPr>
        <w:t>干净并</w:t>
      </w:r>
      <w:r>
        <w:rPr>
          <w:rFonts w:hint="eastAsia" w:ascii="宋体" w:hAnsi="宋体" w:eastAsia="宋体" w:cs="宋体"/>
          <w:color w:val="auto"/>
          <w:sz w:val="21"/>
          <w:szCs w:val="21"/>
          <w:highlight w:val="none"/>
        </w:rPr>
        <w:t>在消毒后要加盖储存，防止再污染，未经消毒的厨具、餐具不得使用。</w:t>
      </w:r>
    </w:p>
    <w:p w14:paraId="036EC3C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cs="宋体"/>
          <w:color w:val="auto"/>
          <w:szCs w:val="21"/>
          <w:highlight w:val="none"/>
          <w:lang w:eastAsia="zh-CN"/>
        </w:rPr>
        <w:t>乙方</w:t>
      </w:r>
      <w:r>
        <w:rPr>
          <w:rFonts w:hint="eastAsia" w:ascii="宋体" w:hAnsi="宋体" w:eastAsia="宋体" w:cs="宋体"/>
          <w:color w:val="auto"/>
          <w:szCs w:val="21"/>
          <w:highlight w:val="none"/>
        </w:rPr>
        <w:t>需清除卫生死角，做好灭四害工作，谨防污染。仓库物品要摆放整齐，保持室内空气流通，以防止物品发霉变质。</w:t>
      </w:r>
    </w:p>
    <w:p w14:paraId="785DE71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（10）</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取得政府部门发放的营业执照</w:t>
      </w:r>
      <w:r>
        <w:rPr>
          <w:rFonts w:hint="eastAsia" w:ascii="宋体" w:hAnsi="宋体" w:cs="宋体"/>
          <w:color w:val="auto"/>
          <w:sz w:val="21"/>
          <w:szCs w:val="21"/>
          <w:highlight w:val="none"/>
          <w:lang w:eastAsia="zh-CN"/>
        </w:rPr>
        <w:t>等需</w:t>
      </w:r>
      <w:r>
        <w:rPr>
          <w:rFonts w:hint="eastAsia" w:ascii="宋体" w:hAnsi="宋体" w:eastAsia="宋体" w:cs="宋体"/>
          <w:color w:val="auto"/>
          <w:sz w:val="21"/>
          <w:szCs w:val="21"/>
          <w:highlight w:val="none"/>
        </w:rPr>
        <w:t>交给</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复印件</w:t>
      </w:r>
      <w:r>
        <w:rPr>
          <w:rFonts w:hint="eastAsia" w:ascii="宋体" w:hAnsi="宋体" w:eastAsia="宋体" w:cs="宋体"/>
          <w:color w:val="auto"/>
          <w:sz w:val="21"/>
          <w:szCs w:val="21"/>
          <w:highlight w:val="none"/>
          <w:lang w:val="en-US" w:eastAsia="zh-CN"/>
        </w:rPr>
        <w:t>备案</w:t>
      </w:r>
      <w:r>
        <w:rPr>
          <w:rFonts w:hint="eastAsia" w:ascii="宋体" w:hAnsi="宋体" w:eastAsia="宋体" w:cs="宋体"/>
          <w:color w:val="auto"/>
          <w:sz w:val="21"/>
          <w:szCs w:val="21"/>
          <w:highlight w:val="none"/>
        </w:rPr>
        <w:t>。</w:t>
      </w:r>
    </w:p>
    <w:p w14:paraId="7EC47C5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环境</w:t>
      </w:r>
      <w:r>
        <w:rPr>
          <w:rFonts w:hint="eastAsia" w:ascii="宋体" w:hAnsi="宋体" w:cs="宋体"/>
          <w:color w:val="auto"/>
          <w:sz w:val="21"/>
          <w:szCs w:val="21"/>
          <w:highlight w:val="none"/>
          <w:lang w:val="en-US" w:eastAsia="zh-CN"/>
        </w:rPr>
        <w:t>及消防</w:t>
      </w:r>
      <w:r>
        <w:rPr>
          <w:rFonts w:hint="eastAsia" w:ascii="宋体" w:hAnsi="宋体" w:eastAsia="宋体" w:cs="宋体"/>
          <w:color w:val="auto"/>
          <w:sz w:val="21"/>
          <w:szCs w:val="21"/>
          <w:highlight w:val="none"/>
        </w:rPr>
        <w:t>安全管理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包括但不限于以下内容</w:t>
      </w:r>
      <w:r>
        <w:rPr>
          <w:rFonts w:hint="eastAsia" w:ascii="宋体" w:hAnsi="宋体" w:eastAsia="宋体" w:cs="宋体"/>
          <w:b w:val="0"/>
          <w:bCs w:val="0"/>
          <w:color w:val="auto"/>
          <w:sz w:val="21"/>
          <w:szCs w:val="21"/>
          <w:highlight w:val="none"/>
          <w:lang w:eastAsia="zh-CN"/>
        </w:rPr>
        <w:t>）</w:t>
      </w:r>
    </w:p>
    <w:p w14:paraId="6A7CE05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供水设施异常时，须及时</w:t>
      </w:r>
      <w:r>
        <w:rPr>
          <w:rFonts w:hint="eastAsia" w:ascii="宋体" w:hAnsi="宋体" w:cs="宋体"/>
          <w:color w:val="auto"/>
          <w:sz w:val="21"/>
          <w:szCs w:val="21"/>
          <w:highlight w:val="none"/>
          <w:lang w:val="en-US" w:eastAsia="zh-CN"/>
        </w:rPr>
        <w:t>报备</w:t>
      </w:r>
      <w:r>
        <w:rPr>
          <w:rFonts w:hint="eastAsia" w:ascii="宋体" w:hAnsi="宋体" w:eastAsia="宋体" w:cs="宋体"/>
          <w:color w:val="auto"/>
          <w:sz w:val="21"/>
          <w:szCs w:val="21"/>
          <w:highlight w:val="none"/>
        </w:rPr>
        <w:t>维修，做到节约用水，无长流水</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漫溢</w:t>
      </w:r>
      <w:r>
        <w:rPr>
          <w:rFonts w:hint="eastAsia" w:ascii="宋体" w:hAnsi="宋体" w:eastAsia="宋体" w:cs="宋体"/>
          <w:color w:val="auto"/>
          <w:sz w:val="21"/>
          <w:szCs w:val="21"/>
          <w:highlight w:val="none"/>
        </w:rPr>
        <w:t>现象。</w:t>
      </w:r>
    </w:p>
    <w:p w14:paraId="76549D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应做好日常安全用电工作，对员工定期开展安全用电培训，每日应派专人负责电力开关，保证每日工作完毕后</w:t>
      </w:r>
      <w:r>
        <w:rPr>
          <w:rFonts w:hint="eastAsia" w:ascii="宋体" w:hAnsi="宋体" w:cs="宋体"/>
          <w:color w:val="auto"/>
          <w:sz w:val="21"/>
          <w:szCs w:val="21"/>
          <w:highlight w:val="none"/>
          <w:lang w:val="en-US" w:eastAsia="zh-CN"/>
        </w:rPr>
        <w:t>非必要常开的</w:t>
      </w:r>
      <w:r>
        <w:rPr>
          <w:rFonts w:hint="eastAsia" w:ascii="宋体" w:hAnsi="宋体" w:eastAsia="宋体" w:cs="宋体"/>
          <w:color w:val="auto"/>
          <w:sz w:val="21"/>
          <w:szCs w:val="21"/>
          <w:highlight w:val="none"/>
        </w:rPr>
        <w:t>电器设备及电路开关的关闭。此外</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自备的</w:t>
      </w:r>
      <w:r>
        <w:rPr>
          <w:rFonts w:hint="eastAsia" w:ascii="宋体" w:hAnsi="宋体" w:eastAsia="宋体" w:cs="宋体"/>
          <w:color w:val="auto"/>
          <w:sz w:val="21"/>
          <w:szCs w:val="21"/>
          <w:highlight w:val="none"/>
        </w:rPr>
        <w:t>所有用水、电、气的设备、设施，以及其他有可能对人或财产造成危害的设备，在投入使用前，须向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提出申请。待</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确定电路负载是否无问题、以及相关设备不会造成危害后方可</w:t>
      </w:r>
      <w:r>
        <w:rPr>
          <w:rFonts w:hint="eastAsia" w:ascii="宋体" w:hAnsi="宋体" w:cs="宋体"/>
          <w:color w:val="auto"/>
          <w:sz w:val="21"/>
          <w:szCs w:val="21"/>
          <w:highlight w:val="none"/>
          <w:lang w:val="en-US" w:eastAsia="zh-CN"/>
        </w:rPr>
        <w:t>投入（安装）</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投入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安装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完成，再由</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确认许可</w:t>
      </w:r>
      <w:r>
        <w:rPr>
          <w:rFonts w:hint="eastAsia" w:ascii="宋体" w:hAnsi="宋体" w:eastAsia="宋体" w:cs="宋体"/>
          <w:color w:val="auto"/>
          <w:sz w:val="21"/>
          <w:szCs w:val="21"/>
          <w:highlight w:val="none"/>
        </w:rPr>
        <w:t>后，方可</w:t>
      </w:r>
      <w:r>
        <w:rPr>
          <w:rFonts w:hint="eastAsia" w:ascii="宋体" w:hAnsi="宋体" w:cs="宋体"/>
          <w:color w:val="auto"/>
          <w:sz w:val="21"/>
          <w:szCs w:val="21"/>
          <w:highlight w:val="none"/>
          <w:lang w:val="en-US" w:eastAsia="zh-CN"/>
        </w:rPr>
        <w:t>开启</w:t>
      </w:r>
      <w:r>
        <w:rPr>
          <w:rFonts w:hint="eastAsia" w:ascii="宋体" w:hAnsi="宋体" w:eastAsia="宋体" w:cs="宋体"/>
          <w:color w:val="auto"/>
          <w:sz w:val="21"/>
          <w:szCs w:val="21"/>
          <w:highlight w:val="none"/>
        </w:rPr>
        <w:t>使用。对于</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所提供的电力基础设施，</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有义务配合甲方进行维护，如发现设施损坏应及时向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告知。如出现因</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用电不当或工作疏忽</w:t>
      </w:r>
      <w:r>
        <w:rPr>
          <w:rFonts w:hint="eastAsia" w:ascii="宋体" w:hAnsi="宋体" w:eastAsia="宋体" w:cs="宋体"/>
          <w:color w:val="auto"/>
          <w:sz w:val="21"/>
          <w:szCs w:val="21"/>
          <w:highlight w:val="none"/>
          <w:lang w:val="en-US" w:eastAsia="zh-CN"/>
        </w:rPr>
        <w:t>等</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原因</w:t>
      </w:r>
      <w:r>
        <w:rPr>
          <w:rFonts w:hint="eastAsia" w:ascii="宋体" w:hAnsi="宋体" w:eastAsia="宋体" w:cs="宋体"/>
          <w:color w:val="auto"/>
          <w:sz w:val="21"/>
          <w:szCs w:val="21"/>
          <w:highlight w:val="none"/>
        </w:rPr>
        <w:t>而造成的电气火灾，</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应承担全部责任。</w:t>
      </w:r>
    </w:p>
    <w:p w14:paraId="16533B4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乙方应做好日常用火、防火工作，每日在炊事设备点火前应对设备进行详细的检查，确定设备部件状态正常后方可点火；乙方应配备足够的消防设施，定期进行员工消防知识培训和开展消防演练，对于由于乙方防火工作不到位而造成的火灾，所带来的损失全部由乙方承担。</w:t>
      </w:r>
    </w:p>
    <w:p w14:paraId="12A2B3F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乙方非正常餐饮服务及管理期间</w:t>
      </w:r>
      <w:r>
        <w:rPr>
          <w:rFonts w:hint="eastAsia" w:ascii="宋体" w:hAnsi="宋体" w:eastAsia="宋体" w:cs="宋体"/>
          <w:color w:val="auto"/>
          <w:sz w:val="21"/>
          <w:szCs w:val="21"/>
          <w:highlight w:val="none"/>
        </w:rPr>
        <w:t>需要临时用电、动火、高空、用水、用气作业的，</w:t>
      </w:r>
      <w:r>
        <w:rPr>
          <w:rFonts w:hint="eastAsia" w:ascii="宋体" w:hAnsi="宋体" w:cs="宋体"/>
          <w:color w:val="auto"/>
          <w:sz w:val="21"/>
          <w:szCs w:val="21"/>
          <w:highlight w:val="none"/>
          <w:lang w:val="en-US" w:eastAsia="zh-CN"/>
        </w:rPr>
        <w:t>必须</w:t>
      </w:r>
      <w:r>
        <w:rPr>
          <w:rFonts w:hint="eastAsia" w:ascii="宋体" w:hAnsi="宋体" w:eastAsia="宋体" w:cs="宋体"/>
          <w:color w:val="auto"/>
          <w:sz w:val="21"/>
          <w:szCs w:val="21"/>
          <w:highlight w:val="none"/>
        </w:rPr>
        <w:t>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提交申请，批准后方可作业，</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rPr>
        <w:t>必须配备相应的安全防护措施，现场设立专项管理责任人，并做好日常安全管理工作，</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有权监督管理。</w:t>
      </w:r>
    </w:p>
    <w:p w14:paraId="1B64177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如</w:t>
      </w:r>
      <w:r>
        <w:rPr>
          <w:rFonts w:hint="eastAsia" w:ascii="宋体" w:hAnsi="宋体" w:cs="宋体"/>
          <w:b w:val="0"/>
          <w:bCs w:val="0"/>
          <w:color w:val="auto"/>
          <w:sz w:val="21"/>
          <w:szCs w:val="21"/>
          <w:highlight w:val="none"/>
          <w:lang w:val="en-US" w:eastAsia="zh-CN"/>
        </w:rPr>
        <w:t>涉及自行</w:t>
      </w:r>
      <w:r>
        <w:rPr>
          <w:rFonts w:hint="eastAsia" w:ascii="宋体" w:hAnsi="宋体" w:eastAsia="宋体" w:cs="宋体"/>
          <w:color w:val="auto"/>
          <w:sz w:val="21"/>
          <w:szCs w:val="21"/>
          <w:highlight w:val="none"/>
        </w:rPr>
        <w:t>燃料</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易燃易爆品</w:t>
      </w:r>
      <w:r>
        <w:rPr>
          <w:rFonts w:hint="eastAsia" w:ascii="宋体" w:hAnsi="宋体" w:eastAsia="宋体" w:cs="宋体"/>
          <w:color w:val="auto"/>
          <w:sz w:val="21"/>
          <w:szCs w:val="21"/>
          <w:highlight w:val="none"/>
        </w:rPr>
        <w:t>的购买、使用、保存环节，均应做好安全防火工作，对于由于</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工作疏忽而造成的安全事故</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应承担一切责任。</w:t>
      </w:r>
    </w:p>
    <w:p w14:paraId="22E3C66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应对所使用的</w:t>
      </w:r>
      <w:r>
        <w:rPr>
          <w:rFonts w:hint="eastAsia" w:ascii="宋体" w:hAnsi="宋体" w:cs="宋体"/>
          <w:color w:val="auto"/>
          <w:sz w:val="21"/>
          <w:szCs w:val="21"/>
          <w:highlight w:val="none"/>
          <w:lang w:val="en-US" w:eastAsia="zh-CN"/>
        </w:rPr>
        <w:t>炊事设备、燃气管道</w:t>
      </w:r>
      <w:r>
        <w:rPr>
          <w:rFonts w:hint="eastAsia" w:ascii="宋体" w:hAnsi="宋体" w:eastAsia="宋体" w:cs="宋体"/>
          <w:color w:val="auto"/>
          <w:sz w:val="21"/>
          <w:szCs w:val="21"/>
          <w:highlight w:val="none"/>
        </w:rPr>
        <w:t>等相应设备、部件等按照国家的相关规定加强安全</w:t>
      </w:r>
      <w:r>
        <w:rPr>
          <w:rFonts w:hint="eastAsia" w:ascii="宋体" w:hAnsi="宋体" w:cs="宋体"/>
          <w:color w:val="auto"/>
          <w:sz w:val="21"/>
          <w:szCs w:val="21"/>
          <w:highlight w:val="none"/>
          <w:lang w:val="en-US" w:eastAsia="zh-CN"/>
        </w:rPr>
        <w:t>检查及</w:t>
      </w:r>
      <w:r>
        <w:rPr>
          <w:rFonts w:hint="eastAsia" w:ascii="宋体" w:hAnsi="宋体" w:eastAsia="宋体" w:cs="宋体"/>
          <w:color w:val="auto"/>
          <w:sz w:val="21"/>
          <w:szCs w:val="21"/>
          <w:highlight w:val="none"/>
        </w:rPr>
        <w:t>管理。</w:t>
      </w:r>
      <w:r>
        <w:rPr>
          <w:rFonts w:hint="eastAsia" w:ascii="宋体" w:hAnsi="宋体" w:cs="宋体"/>
          <w:color w:val="auto"/>
          <w:sz w:val="21"/>
          <w:szCs w:val="21"/>
          <w:highlight w:val="none"/>
          <w:lang w:val="en-US" w:eastAsia="zh-CN"/>
        </w:rPr>
        <w:t>如发现存在安全隐患，应及时向甲方报备处置</w:t>
      </w:r>
      <w:r>
        <w:rPr>
          <w:rFonts w:hint="eastAsia" w:ascii="宋体" w:hAnsi="宋体" w:eastAsia="宋体" w:cs="宋体"/>
          <w:color w:val="auto"/>
          <w:sz w:val="21"/>
          <w:szCs w:val="21"/>
          <w:highlight w:val="none"/>
        </w:rPr>
        <w:t>。</w:t>
      </w:r>
    </w:p>
    <w:p w14:paraId="48F0C35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color w:val="auto"/>
          <w:sz w:val="21"/>
          <w:szCs w:val="21"/>
          <w:highlight w:val="none"/>
        </w:rPr>
        <w:t>应安排专人对燃料系统进行防火巡查，每日操作结束后应有专人关闭火源阀门及气源阀门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做好防火措施。</w:t>
      </w:r>
    </w:p>
    <w:p w14:paraId="21BBE8D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color w:val="auto"/>
          <w:w w:val="100"/>
          <w:sz w:val="21"/>
          <w:szCs w:val="21"/>
          <w:highlight w:val="none"/>
          <w:lang w:val="en-US" w:eastAsia="zh-CN"/>
        </w:rPr>
      </w:pPr>
      <w:r>
        <w:rPr>
          <w:rFonts w:hint="eastAsia" w:ascii="宋体" w:hAnsi="宋体" w:cs="宋体"/>
          <w:color w:val="auto"/>
          <w:w w:val="100"/>
          <w:sz w:val="21"/>
          <w:szCs w:val="21"/>
          <w:highlight w:val="none"/>
          <w:lang w:val="en-US" w:eastAsia="zh-CN"/>
        </w:rPr>
        <w:t>4</w:t>
      </w:r>
      <w:r>
        <w:rPr>
          <w:rFonts w:hint="eastAsia" w:ascii="宋体" w:hAnsi="宋体" w:eastAsia="宋体" w:cs="宋体"/>
          <w:color w:val="auto"/>
          <w:w w:val="100"/>
          <w:sz w:val="21"/>
          <w:szCs w:val="21"/>
          <w:highlight w:val="none"/>
          <w:lang w:val="en-US" w:eastAsia="zh-CN"/>
        </w:rPr>
        <w:t>.</w:t>
      </w:r>
      <w:r>
        <w:rPr>
          <w:rFonts w:hint="eastAsia" w:ascii="宋体" w:hAnsi="宋体" w:eastAsia="宋体" w:cs="宋体"/>
          <w:color w:val="auto"/>
          <w:w w:val="100"/>
          <w:sz w:val="21"/>
          <w:szCs w:val="21"/>
          <w:highlight w:val="none"/>
        </w:rPr>
        <w:t>交通安全</w:t>
      </w:r>
      <w:r>
        <w:rPr>
          <w:rFonts w:hint="eastAsia" w:ascii="宋体" w:hAnsi="宋体" w:eastAsia="宋体" w:cs="宋体"/>
          <w:b w:val="0"/>
          <w:bCs w:val="0"/>
          <w:color w:val="auto"/>
          <w:w w:val="100"/>
          <w:sz w:val="21"/>
          <w:szCs w:val="21"/>
          <w:highlight w:val="none"/>
          <w:lang w:eastAsia="zh-CN"/>
        </w:rPr>
        <w:t>（</w:t>
      </w:r>
      <w:r>
        <w:rPr>
          <w:rFonts w:hint="eastAsia" w:ascii="宋体" w:hAnsi="宋体" w:eastAsia="宋体" w:cs="宋体"/>
          <w:b w:val="0"/>
          <w:bCs w:val="0"/>
          <w:color w:val="auto"/>
          <w:w w:val="100"/>
          <w:sz w:val="21"/>
          <w:szCs w:val="21"/>
          <w:highlight w:val="none"/>
          <w:lang w:val="en-US" w:eastAsia="zh-CN"/>
        </w:rPr>
        <w:t>包括但不限于以下内容</w:t>
      </w:r>
      <w:r>
        <w:rPr>
          <w:rFonts w:hint="eastAsia" w:ascii="宋体" w:hAnsi="宋体" w:eastAsia="宋体" w:cs="宋体"/>
          <w:b w:val="0"/>
          <w:bCs w:val="0"/>
          <w:color w:val="auto"/>
          <w:w w:val="100"/>
          <w:sz w:val="21"/>
          <w:szCs w:val="21"/>
          <w:highlight w:val="none"/>
          <w:lang w:eastAsia="zh-CN"/>
        </w:rPr>
        <w:t>）</w:t>
      </w:r>
    </w:p>
    <w:p w14:paraId="7F0945E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cs="宋体"/>
          <w:color w:val="auto"/>
          <w:w w:val="100"/>
          <w:sz w:val="21"/>
          <w:szCs w:val="21"/>
          <w:highlight w:val="none"/>
          <w:lang w:val="en-US" w:eastAsia="zh-CN"/>
        </w:rPr>
        <w:t>乙方</w:t>
      </w:r>
      <w:r>
        <w:rPr>
          <w:rFonts w:hint="eastAsia" w:ascii="宋体" w:hAnsi="宋体" w:eastAsia="宋体" w:cs="宋体"/>
          <w:color w:val="auto"/>
          <w:w w:val="100"/>
          <w:sz w:val="21"/>
          <w:szCs w:val="21"/>
          <w:highlight w:val="none"/>
        </w:rPr>
        <w:t>车辆进入</w:t>
      </w:r>
      <w:r>
        <w:rPr>
          <w:rFonts w:hint="eastAsia" w:ascii="宋体" w:hAnsi="宋体" w:cs="宋体"/>
          <w:color w:val="auto"/>
          <w:w w:val="100"/>
          <w:sz w:val="21"/>
          <w:szCs w:val="21"/>
          <w:highlight w:val="none"/>
          <w:lang w:val="en-US" w:eastAsia="zh-CN"/>
        </w:rPr>
        <w:t>甲方</w:t>
      </w:r>
      <w:r>
        <w:rPr>
          <w:rFonts w:hint="eastAsia" w:ascii="宋体" w:hAnsi="宋体" w:eastAsia="宋体" w:cs="宋体"/>
          <w:color w:val="auto"/>
          <w:w w:val="100"/>
          <w:sz w:val="21"/>
          <w:szCs w:val="21"/>
          <w:highlight w:val="none"/>
        </w:rPr>
        <w:t>区域时，行车速度</w:t>
      </w:r>
      <w:r>
        <w:rPr>
          <w:rFonts w:hint="eastAsia" w:ascii="宋体" w:hAnsi="宋体" w:cs="宋体"/>
          <w:color w:val="auto"/>
          <w:w w:val="100"/>
          <w:sz w:val="21"/>
          <w:szCs w:val="21"/>
          <w:highlight w:val="none"/>
          <w:lang w:val="en-US" w:eastAsia="zh-CN"/>
        </w:rPr>
        <w:t>控制在5-</w:t>
      </w:r>
      <w:r>
        <w:rPr>
          <w:rFonts w:hint="eastAsia" w:ascii="宋体" w:hAnsi="宋体" w:eastAsia="宋体" w:cs="宋体"/>
          <w:color w:val="auto"/>
          <w:w w:val="100"/>
          <w:sz w:val="21"/>
          <w:szCs w:val="21"/>
          <w:highlight w:val="none"/>
        </w:rPr>
        <w:t>10公里/小时。车辆应在指定的</w:t>
      </w:r>
      <w:r>
        <w:rPr>
          <w:rFonts w:hint="eastAsia" w:ascii="宋体" w:hAnsi="宋体" w:eastAsia="宋体" w:cs="宋体"/>
          <w:color w:val="auto"/>
          <w:w w:val="100"/>
          <w:sz w:val="21"/>
          <w:szCs w:val="21"/>
          <w:highlight w:val="none"/>
          <w:lang w:val="en-US" w:eastAsia="zh-CN"/>
        </w:rPr>
        <w:t>道路</w:t>
      </w:r>
      <w:r>
        <w:rPr>
          <w:rFonts w:hint="eastAsia" w:ascii="宋体" w:hAnsi="宋体" w:eastAsia="宋体" w:cs="宋体"/>
          <w:color w:val="auto"/>
          <w:w w:val="100"/>
          <w:sz w:val="21"/>
          <w:szCs w:val="21"/>
          <w:highlight w:val="none"/>
        </w:rPr>
        <w:t>上行驶，不得超载、超高、超长、超宽运输，严禁与生产系统设备管道接触。同时，不得损坏或搬动所有交通标志和安全设施，遇到不得不挪动的情况时，需要与</w:t>
      </w:r>
      <w:r>
        <w:rPr>
          <w:rFonts w:hint="eastAsia" w:ascii="宋体" w:hAnsi="宋体" w:cs="宋体"/>
          <w:color w:val="auto"/>
          <w:w w:val="100"/>
          <w:sz w:val="21"/>
          <w:szCs w:val="21"/>
          <w:highlight w:val="none"/>
          <w:lang w:val="en-US" w:eastAsia="zh-CN"/>
        </w:rPr>
        <w:t>甲方</w:t>
      </w:r>
      <w:r>
        <w:rPr>
          <w:rFonts w:hint="eastAsia" w:ascii="宋体" w:hAnsi="宋体" w:eastAsia="宋体" w:cs="宋体"/>
          <w:color w:val="auto"/>
          <w:w w:val="100"/>
          <w:sz w:val="21"/>
          <w:szCs w:val="21"/>
          <w:highlight w:val="none"/>
        </w:rPr>
        <w:t>协商，审批成功，方可挪动</w:t>
      </w:r>
      <w:r>
        <w:rPr>
          <w:rFonts w:hint="eastAsia" w:ascii="宋体" w:hAnsi="宋体" w:eastAsia="宋体" w:cs="宋体"/>
          <w:color w:val="auto"/>
          <w:w w:val="100"/>
          <w:sz w:val="21"/>
          <w:szCs w:val="21"/>
          <w:highlight w:val="none"/>
          <w:lang w:eastAsia="zh-CN"/>
        </w:rPr>
        <w:t>。</w:t>
      </w:r>
      <w:r>
        <w:rPr>
          <w:rFonts w:hint="eastAsia" w:ascii="宋体" w:hAnsi="宋体" w:cs="宋体"/>
          <w:color w:val="auto"/>
          <w:w w:val="100"/>
          <w:sz w:val="21"/>
          <w:szCs w:val="21"/>
          <w:highlight w:val="none"/>
          <w:lang w:val="en-US" w:eastAsia="zh-CN"/>
        </w:rPr>
        <w:t>乙方</w:t>
      </w:r>
      <w:r>
        <w:rPr>
          <w:rFonts w:hint="eastAsia" w:ascii="宋体" w:hAnsi="宋体" w:eastAsia="宋体" w:cs="宋体"/>
          <w:color w:val="auto"/>
          <w:w w:val="100"/>
          <w:sz w:val="21"/>
          <w:szCs w:val="21"/>
          <w:highlight w:val="none"/>
          <w:lang w:val="en-US" w:eastAsia="zh-CN"/>
        </w:rPr>
        <w:t>在区域内发生的任何交通事故均由</w:t>
      </w:r>
      <w:r>
        <w:rPr>
          <w:rFonts w:hint="eastAsia" w:ascii="宋体" w:hAnsi="宋体" w:cs="宋体"/>
          <w:color w:val="auto"/>
          <w:w w:val="100"/>
          <w:sz w:val="21"/>
          <w:szCs w:val="21"/>
          <w:highlight w:val="none"/>
          <w:lang w:val="en-US" w:eastAsia="zh-CN"/>
        </w:rPr>
        <w:t>乙方</w:t>
      </w:r>
      <w:r>
        <w:rPr>
          <w:rFonts w:hint="eastAsia" w:ascii="宋体" w:hAnsi="宋体" w:eastAsia="宋体" w:cs="宋体"/>
          <w:color w:val="auto"/>
          <w:w w:val="100"/>
          <w:sz w:val="21"/>
          <w:szCs w:val="21"/>
          <w:highlight w:val="none"/>
          <w:lang w:val="en-US" w:eastAsia="zh-CN"/>
        </w:rPr>
        <w:t>承担全部责任。</w:t>
      </w:r>
    </w:p>
    <w:p w14:paraId="230FA8BB">
      <w:pPr>
        <w:keepNext w:val="0"/>
        <w:keepLines w:val="0"/>
        <w:pageBreakBefore w:val="0"/>
        <w:widowControl w:val="0"/>
        <w:shd w:val="clear"/>
        <w:kinsoku/>
        <w:wordWrap/>
        <w:overflowPunct/>
        <w:topLinePunct/>
        <w:autoSpaceDE/>
        <w:autoSpaceDN/>
        <w:bidi w:val="0"/>
        <w:adjustRightInd w:val="0"/>
        <w:snapToGrid w:val="0"/>
        <w:spacing w:line="360" w:lineRule="auto"/>
        <w:ind w:firstLine="422" w:firstLineChars="200"/>
        <w:contextualSpacing/>
        <w:jc w:val="left"/>
        <w:textAlignment w:val="auto"/>
        <w:outlineLvl w:val="1"/>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（七）考核要求</w:t>
      </w:r>
    </w:p>
    <w:p w14:paraId="4FAB5AD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1.考核办法</w:t>
      </w:r>
    </w:p>
    <w:p w14:paraId="341F1A1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根据标准化工作要求，按常州市钟楼区机关事务管理中心社会化服务考核办法及相关服务标准、考核细则对</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进行考核管理。考核细则详见附件3：常州市钟楼区行政中心机关食堂餐饮服务及管理项目考核评分标准。</w:t>
      </w:r>
    </w:p>
    <w:p w14:paraId="6394119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2.考核内容</w:t>
      </w:r>
    </w:p>
    <w:p w14:paraId="14BB2E1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将采购文件规定的服务内容、服务要求和服务标准，对</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的制度建设、质量管理、服务规范、合同执行、资料管理等进行日常考核和月度考核。服务质量考核每月汇总，合格基准分为90分，考核结果低于基准分，每低于基准分1分，从当月应付服务费中扣减1000元，如果考核结果低于80分，</w:t>
      </w:r>
      <w:r>
        <w:rPr>
          <w:rFonts w:hint="eastAsia" w:ascii="宋体" w:hAnsi="宋体" w:cs="宋体"/>
          <w:kern w:val="0"/>
          <w:sz w:val="21"/>
          <w:szCs w:val="21"/>
          <w:highlight w:val="none"/>
          <w:lang w:val="en-US" w:eastAsia="zh-CN"/>
        </w:rPr>
        <w:t>甲方</w:t>
      </w:r>
      <w:r>
        <w:rPr>
          <w:rFonts w:hint="eastAsia" w:ascii="宋体" w:hAnsi="宋体" w:eastAsia="宋体" w:cs="宋体"/>
          <w:kern w:val="0"/>
          <w:sz w:val="21"/>
          <w:szCs w:val="21"/>
          <w:highlight w:val="none"/>
          <w:lang w:val="en-US" w:eastAsia="zh-CN"/>
        </w:rPr>
        <w:t>有权终止和</w:t>
      </w:r>
      <w:r>
        <w:rPr>
          <w:rFonts w:hint="eastAsia" w:ascii="宋体" w:hAnsi="宋体" w:cs="宋体"/>
          <w:kern w:val="0"/>
          <w:sz w:val="21"/>
          <w:szCs w:val="21"/>
          <w:highlight w:val="none"/>
          <w:lang w:val="en-US" w:eastAsia="zh-CN"/>
        </w:rPr>
        <w:t>乙方</w:t>
      </w:r>
      <w:r>
        <w:rPr>
          <w:rFonts w:hint="eastAsia" w:ascii="宋体" w:hAnsi="宋体" w:eastAsia="宋体" w:cs="宋体"/>
          <w:kern w:val="0"/>
          <w:sz w:val="21"/>
          <w:szCs w:val="21"/>
          <w:highlight w:val="none"/>
          <w:lang w:val="en-US" w:eastAsia="zh-CN"/>
        </w:rPr>
        <w:t>的合同。</w:t>
      </w:r>
    </w:p>
    <w:p w14:paraId="5B76319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cs="宋体"/>
          <w:b/>
          <w:bCs w:val="0"/>
          <w:color w:val="auto"/>
          <w:sz w:val="21"/>
          <w:szCs w:val="21"/>
          <w:highlight w:val="none"/>
          <w:lang w:val="en-US" w:eastAsia="zh-CN"/>
        </w:rPr>
      </w:pPr>
      <w:r>
        <w:rPr>
          <w:rFonts w:hint="eastAsia" w:ascii="宋体" w:hAnsi="宋体" w:eastAsia="宋体" w:cs="宋体"/>
          <w:b/>
          <w:bCs w:val="0"/>
          <w:color w:val="auto"/>
          <w:kern w:val="2"/>
          <w:sz w:val="21"/>
          <w:szCs w:val="21"/>
          <w:highlight w:val="none"/>
          <w:lang w:val="en-US" w:eastAsia="zh-CN" w:bidi="ar-SA"/>
        </w:rPr>
        <w:t>七、</w:t>
      </w:r>
      <w:r>
        <w:rPr>
          <w:rFonts w:hint="eastAsia" w:ascii="宋体" w:hAnsi="宋体" w:cs="宋体"/>
          <w:b/>
          <w:bCs w:val="0"/>
          <w:color w:val="auto"/>
          <w:sz w:val="21"/>
          <w:szCs w:val="21"/>
          <w:highlight w:val="none"/>
          <w:lang w:val="en-US" w:eastAsia="zh-CN"/>
        </w:rPr>
        <w:t>其他约定</w:t>
      </w:r>
    </w:p>
    <w:p w14:paraId="4E82769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1.本合同签订前甲、乙双方已对现有厨房设备、设施、餐饮用具等财产进行清点盘库，并由甲、乙双方确认。</w:t>
      </w:r>
    </w:p>
    <w:p w14:paraId="01C511F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r>
        <w:rPr>
          <w:rFonts w:hint="eastAsia" w:ascii="宋体" w:hAnsi="宋体" w:eastAsia="宋体" w:cs="宋体"/>
          <w:kern w:val="0"/>
          <w:sz w:val="21"/>
          <w:szCs w:val="21"/>
          <w:highlight w:val="none"/>
          <w:lang w:val="en-US" w:eastAsia="zh-CN"/>
        </w:rPr>
        <w:t>.签订合同后，任何一方如违约应赔偿对方的经济损失，并</w:t>
      </w:r>
      <w:r>
        <w:rPr>
          <w:rFonts w:hint="eastAsia" w:ascii="宋体" w:hAnsi="宋体" w:cs="宋体"/>
          <w:kern w:val="0"/>
          <w:sz w:val="21"/>
          <w:szCs w:val="21"/>
          <w:highlight w:val="none"/>
          <w:lang w:val="en-US" w:eastAsia="zh-CN"/>
        </w:rPr>
        <w:t>按单年度合同价款*10%</w:t>
      </w:r>
      <w:r>
        <w:rPr>
          <w:rFonts w:hint="eastAsia" w:ascii="宋体" w:hAnsi="宋体" w:eastAsia="宋体" w:cs="宋体"/>
          <w:kern w:val="0"/>
          <w:sz w:val="21"/>
          <w:szCs w:val="21"/>
          <w:highlight w:val="none"/>
          <w:lang w:val="en-US" w:eastAsia="zh-CN"/>
        </w:rPr>
        <w:t>支付对方违约金。如有一方因故要求提前终止合同，应提前三个月以书面形式通知对方，经对方同意后终止合同，交接期必须安排在适当期间。如不及时通知对方，或未征得对方同意而擅自单方终止合同的，应赔偿对方违约金，以补偿对方的损失；违约金不足以弥补损失的，继续赔偿。</w:t>
      </w:r>
      <w:r>
        <w:rPr>
          <w:rFonts w:hint="eastAsia" w:ascii="宋体" w:hAnsi="宋体" w:cs="宋体"/>
          <w:kern w:val="0"/>
          <w:sz w:val="21"/>
          <w:szCs w:val="21"/>
          <w:highlight w:val="none"/>
          <w:lang w:val="en-US" w:eastAsia="zh-CN"/>
        </w:rPr>
        <w:t>本合同违约金标准为单年度合同价款*10%，如有其他约定标准的从其约定。</w:t>
      </w:r>
    </w:p>
    <w:p w14:paraId="60B2419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w:t>
      </w:r>
      <w:r>
        <w:rPr>
          <w:rFonts w:hint="eastAsia" w:ascii="宋体" w:hAnsi="宋体" w:eastAsia="宋体" w:cs="宋体"/>
          <w:kern w:val="0"/>
          <w:sz w:val="21"/>
          <w:szCs w:val="21"/>
          <w:highlight w:val="none"/>
          <w:lang w:val="en-US" w:eastAsia="zh-CN"/>
        </w:rPr>
        <w:t>.乙方在合同服务期内，自费办理其人员人身和自备财产的有关保险，保险时间应随服务时间的延长而顺延，并在出险后自行办理索赔。如果乙方不办理上述保险，则应对有关风险及后果自负其责。</w:t>
      </w:r>
    </w:p>
    <w:p w14:paraId="33E81FB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w:t>
      </w:r>
      <w:r>
        <w:rPr>
          <w:rFonts w:hint="eastAsia" w:ascii="宋体" w:hAnsi="宋体" w:eastAsia="宋体" w:cs="宋体"/>
          <w:kern w:val="0"/>
          <w:sz w:val="21"/>
          <w:szCs w:val="21"/>
          <w:highlight w:val="none"/>
          <w:lang w:val="en-US" w:eastAsia="zh-CN"/>
        </w:rPr>
        <w:t>.乙方向甲方提出赔偿要求不能成立时，乙方应当补偿由于该索赔所导致甲方的各种费用支出。</w:t>
      </w:r>
    </w:p>
    <w:p w14:paraId="7FCEDCB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w:t>
      </w:r>
      <w:r>
        <w:rPr>
          <w:rFonts w:hint="eastAsia" w:ascii="宋体" w:hAnsi="宋体" w:eastAsia="宋体" w:cs="宋体"/>
          <w:kern w:val="0"/>
          <w:sz w:val="21"/>
          <w:szCs w:val="21"/>
          <w:highlight w:val="none"/>
          <w:lang w:val="en-US" w:eastAsia="zh-CN"/>
        </w:rPr>
        <w:t>.未经对方的书面同意，无论甲方或乙方均不得转让本合同约定的权利和义务。</w:t>
      </w:r>
    </w:p>
    <w:p w14:paraId="45B7676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6</w:t>
      </w:r>
      <w:r>
        <w:rPr>
          <w:rFonts w:hint="eastAsia" w:ascii="宋体" w:hAnsi="宋体" w:eastAsia="宋体" w:cs="宋体"/>
          <w:kern w:val="0"/>
          <w:sz w:val="21"/>
          <w:szCs w:val="21"/>
          <w:highlight w:val="none"/>
          <w:lang w:val="en-US" w:eastAsia="zh-CN"/>
        </w:rPr>
        <w:t>.各方都应保护对签署和履行本合同而取得的所有任何有关对方的非公开资料，任何一方均有义务限制其员工、代理人等仅在为适当履行本合同义务所必须且承诺严守保密义务时方可获得和使用上述资料。因一方未尽到此项义务而使另一方受到损失的，应赔偿另一方因此受到的损失。本合同终止后，双方仍负有上述保密义务。</w:t>
      </w:r>
    </w:p>
    <w:p w14:paraId="331EDF8D">
      <w:pPr>
        <w:keepNext w:val="0"/>
        <w:keepLines w:val="0"/>
        <w:pageBreakBefore w:val="0"/>
        <w:widowControl w:val="0"/>
        <w:kinsoku/>
        <w:wordWrap/>
        <w:overflowPunct/>
        <w:autoSpaceDE/>
        <w:autoSpaceDN/>
        <w:bidi w:val="0"/>
        <w:adjustRightInd w:val="0"/>
        <w:snapToGrid w:val="0"/>
        <w:spacing w:line="360" w:lineRule="auto"/>
        <w:jc w:val="left"/>
        <w:textAlignment w:val="auto"/>
        <w:rPr>
          <w:rFonts w:hAnsi="宋体" w:cs="宋体"/>
          <w:b/>
          <w:bCs/>
          <w:color w:val="auto"/>
          <w:szCs w:val="21"/>
          <w:highlight w:val="none"/>
        </w:rPr>
      </w:pPr>
      <w:r>
        <w:rPr>
          <w:rFonts w:hint="eastAsia" w:hAnsi="宋体" w:cs="宋体"/>
          <w:b/>
          <w:bCs/>
          <w:color w:val="auto"/>
          <w:szCs w:val="21"/>
          <w:highlight w:val="none"/>
          <w:lang w:val="en-US" w:eastAsia="zh-CN"/>
        </w:rPr>
        <w:t>八</w:t>
      </w:r>
      <w:r>
        <w:rPr>
          <w:rFonts w:hint="eastAsia" w:hAnsi="宋体" w:cs="宋体"/>
          <w:b/>
          <w:bCs/>
          <w:color w:val="auto"/>
          <w:szCs w:val="21"/>
          <w:highlight w:val="none"/>
        </w:rPr>
        <w:t>、违约责任</w:t>
      </w:r>
    </w:p>
    <w:p w14:paraId="64032C36">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1.乙方未按本合同约定标准、时限、内容提供餐饮服务、伴随服务，存在服务降标、供应不足、菜品不达标、卫生不规范、人员配备不到位等违约情形，经甲方书面告知整改仍未纠正的，甲方有权单方解除合同，乙方需按合同第七条标准向甲方支付违约金；解约通知自甲方书面送达乙方之日起生效。</w:t>
      </w:r>
    </w:p>
    <w:p w14:paraId="37B84DA3">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2.乙方存在投标及履约期间虚假承诺、资质造假、服务造假、隐瞒重大问题，或因乙方根本性过错导致合同无法继续履行的，乙方须向甲方支付单年度合同价款*10%的违约金，违约金不足以弥补甲方经济损失、声誉损失、整改成本的，乙方需全额补足赔偿。</w:t>
      </w:r>
    </w:p>
    <w:p w14:paraId="0068C40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3.因乙方用工违规、劳资纠纷、人员管理混乱、食品安全事故、消防安全事故、场地安全事故、涉密违规、损害甲方声誉等情形引发的一切处罚、赔偿、纠纷、舆情、诉讼成本，均由乙方全权承担；若因此给甲方造成损失的，乙方须全额赔偿。</w:t>
      </w:r>
    </w:p>
    <w:p w14:paraId="79048485">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4.甲方无正当理由逾期支付服务费的，每逾期1日，按应付未付款项的0.30‰支付滞纳金，累计滞纳金总额不超过欠款总额的5%；因乙方未提供合规发票、考核不合格、存在违约扣款情形导致甲方逾期付款的，甲方不承担任何违约责任。</w:t>
      </w:r>
    </w:p>
    <w:p w14:paraId="54BAB051">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5.乙方承担单项或多项违约责任后，除甲方已依法解除合同外，仍需继续全面履行本合同约定的全部义务。甲方未即时对乙方某次违约行为追责、扣款、处罚的，不视为甲方放弃追究乙方本次及后续违约行为的权利，甲方可随时追溯追责。</w:t>
      </w:r>
    </w:p>
    <w:p w14:paraId="1A2E1F0E">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6.乙方应支付的违约金、赔偿金、罚款、资产赔偿款等，甲方有权直接从当期及后续应付服务费中全额抵扣，不足部分甲方有权向乙方追偿。</w:t>
      </w:r>
    </w:p>
    <w:p w14:paraId="0784B34F">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eastAsia="宋体" w:cs="宋体"/>
          <w:color w:val="auto"/>
          <w:szCs w:val="21"/>
          <w:highlight w:val="none"/>
          <w:lang w:eastAsia="zh-CN"/>
        </w:rPr>
      </w:pPr>
      <w:r>
        <w:rPr>
          <w:rFonts w:hint="eastAsia" w:hAnsi="宋体" w:cs="宋体"/>
          <w:color w:val="auto"/>
          <w:szCs w:val="21"/>
          <w:highlight w:val="none"/>
          <w:lang w:val="en-US" w:eastAsia="zh-CN"/>
        </w:rPr>
        <w:t>7.</w:t>
      </w:r>
      <w:r>
        <w:rPr>
          <w:rFonts w:hint="eastAsia" w:hAnsi="宋体" w:cs="宋体"/>
          <w:color w:val="auto"/>
          <w:szCs w:val="21"/>
          <w:highlight w:val="none"/>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r>
        <w:rPr>
          <w:rFonts w:hint="eastAsia" w:hAnsi="宋体" w:cs="宋体"/>
          <w:color w:val="auto"/>
          <w:szCs w:val="21"/>
          <w:highlight w:val="none"/>
          <w:lang w:eastAsia="zh-CN"/>
        </w:rPr>
        <w:t>。</w:t>
      </w:r>
    </w:p>
    <w:p w14:paraId="07AD62C3">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default" w:hAnsi="宋体" w:cs="宋体"/>
          <w:color w:val="auto"/>
          <w:szCs w:val="21"/>
          <w:highlight w:val="none"/>
        </w:rPr>
      </w:pPr>
      <w:r>
        <w:rPr>
          <w:rFonts w:hint="eastAsia" w:hAnsi="宋体" w:cs="宋体"/>
          <w:color w:val="auto"/>
          <w:szCs w:val="21"/>
          <w:highlight w:val="none"/>
          <w:lang w:val="en-US" w:eastAsia="zh-CN"/>
        </w:rPr>
        <w:t>8.</w:t>
      </w:r>
      <w:r>
        <w:rPr>
          <w:rFonts w:hint="eastAsia" w:hAnsi="宋体" w:cs="宋体"/>
          <w:color w:val="auto"/>
          <w:szCs w:val="21"/>
          <w:highlight w:val="none"/>
        </w:rPr>
        <w:t xml:space="preserve">如果出现政府采购监督管理部门在处理投诉事项期间，书面通知甲方暂停采购活动的情形，或者询问或质疑事项可能影响中标结果的，导致甲方中止履行合同的情形，均不视为甲方违约。 </w:t>
      </w:r>
    </w:p>
    <w:p w14:paraId="74D00E00">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color w:val="auto"/>
          <w:highlight w:val="none"/>
          <w:lang w:val="en-US" w:eastAsia="zh-CN"/>
        </w:rPr>
        <w:t>9.</w:t>
      </w:r>
      <w:r>
        <w:rPr>
          <w:rFonts w:hint="eastAsia" w:hAnsi="宋体" w:cs="宋体"/>
          <w:color w:val="auto"/>
          <w:szCs w:val="21"/>
          <w:highlight w:val="none"/>
        </w:rPr>
        <w:t xml:space="preserve">守约方主张债权产生的费用（包括但不限于诉讼费/仲裁费、律师费、保全费、保全担保费、执行费等）全部由违约方承担。 </w:t>
      </w:r>
    </w:p>
    <w:p w14:paraId="02A60572">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Ansi="宋体" w:cs="宋体"/>
          <w:b/>
          <w:bCs/>
          <w:color w:val="auto"/>
          <w:szCs w:val="21"/>
          <w:highlight w:val="none"/>
        </w:rPr>
      </w:pPr>
      <w:r>
        <w:rPr>
          <w:rFonts w:hint="eastAsia" w:hAnsi="宋体" w:cs="宋体"/>
          <w:b/>
          <w:bCs/>
          <w:color w:val="auto"/>
          <w:szCs w:val="21"/>
          <w:highlight w:val="none"/>
          <w:lang w:val="en-US" w:eastAsia="zh-CN"/>
        </w:rPr>
        <w:t>九</w:t>
      </w:r>
      <w:r>
        <w:rPr>
          <w:rFonts w:hint="eastAsia" w:hAnsi="宋体" w:cs="宋体"/>
          <w:b/>
          <w:bCs/>
          <w:color w:val="auto"/>
          <w:szCs w:val="21"/>
          <w:highlight w:val="none"/>
        </w:rPr>
        <w:t>、合同生效、变更与终止</w:t>
      </w:r>
    </w:p>
    <w:p w14:paraId="351EBFB3">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1.合同的变更、终止</w:t>
      </w:r>
    </w:p>
    <w:p w14:paraId="500324FB">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（1）除《中华人民共和国政府采购法》第49条、第50条第二款规定或本合同约定变更、终止条款外，本合同一经签订，甲乙双方不得擅自变更、中止或终止合同。</w:t>
      </w:r>
    </w:p>
    <w:p w14:paraId="374BD86D">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（2）有权解除合同的一方，应当在违约事实或不可抗力发生之后三十天内或本合同约定的期限内书面通知对方以主张解除合同，合同在书面通知到达对方时解除。</w:t>
      </w:r>
    </w:p>
    <w:p w14:paraId="375A978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lang w:val="en-US" w:eastAsia="zh-CN"/>
        </w:rPr>
      </w:pPr>
      <w:r>
        <w:rPr>
          <w:rFonts w:hint="eastAsia" w:hAnsi="宋体" w:cs="宋体"/>
          <w:color w:val="auto"/>
          <w:szCs w:val="21"/>
          <w:highlight w:val="none"/>
          <w:lang w:val="en-US" w:eastAsia="zh-CN"/>
        </w:rPr>
        <w:t>2.合同的转让</w:t>
      </w:r>
    </w:p>
    <w:p w14:paraId="1211DEA0">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lang w:val="en-US" w:eastAsia="zh-CN"/>
        </w:rPr>
        <w:t>合同的部分和全部都不得转让。</w:t>
      </w:r>
    </w:p>
    <w:p w14:paraId="33158ACC">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Ansi="宋体" w:cs="宋体"/>
          <w:b/>
          <w:bCs/>
          <w:color w:val="auto"/>
          <w:szCs w:val="21"/>
          <w:highlight w:val="none"/>
        </w:rPr>
      </w:pPr>
      <w:r>
        <w:rPr>
          <w:rFonts w:hint="eastAsia" w:hAnsi="宋体" w:cs="宋体"/>
          <w:b/>
          <w:bCs/>
          <w:color w:val="auto"/>
          <w:szCs w:val="21"/>
          <w:highlight w:val="none"/>
          <w:lang w:val="en-US" w:eastAsia="zh-CN"/>
        </w:rPr>
        <w:t>十</w:t>
      </w:r>
      <w:r>
        <w:rPr>
          <w:rFonts w:hint="eastAsia" w:hAnsi="宋体" w:cs="宋体"/>
          <w:b/>
          <w:bCs/>
          <w:color w:val="auto"/>
          <w:szCs w:val="21"/>
          <w:highlight w:val="none"/>
        </w:rPr>
        <w:t>、不可抗力</w:t>
      </w:r>
    </w:p>
    <w:p w14:paraId="2DD61953">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由于地震、台风、水灾、战争以及</w:t>
      </w:r>
      <w:r>
        <w:rPr>
          <w:rFonts w:hint="eastAsia" w:hAnsi="宋体" w:cs="宋体"/>
          <w:color w:val="auto"/>
          <w:szCs w:val="21"/>
          <w:highlight w:val="none"/>
          <w:lang w:eastAsia="zh-CN"/>
        </w:rPr>
        <w:t>其他</w:t>
      </w:r>
      <w:r>
        <w:rPr>
          <w:rFonts w:hint="eastAsia" w:hAnsi="宋体" w:cs="宋体"/>
          <w:color w:val="auto"/>
          <w:szCs w:val="21"/>
          <w:highlight w:val="none"/>
        </w:rPr>
        <w:t>不能预见并且对其发生和后果不能防止或避免的不可抗力事故，致使直接影响本合同的履行或者不能按约定的条件履行时，遇有上述不可抗力事故的一方，应在不可抗力事故发生后立即将事故情况书面通知对方，并应在30天内提供事故详情及合同不能履行，或者部分不能履行，或者需要延期履行的理由的有效证明文件。按照事故对履行合同的影响程度，由合同各方协商决定是否解除合同，或者部分免除履行合同的责任，或者延期履行合同。</w:t>
      </w:r>
    </w:p>
    <w:p w14:paraId="4C7CA7BB">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Ansi="宋体" w:cs="宋体"/>
          <w:color w:val="auto"/>
          <w:szCs w:val="21"/>
          <w:highlight w:val="none"/>
        </w:rPr>
      </w:pPr>
      <w:r>
        <w:rPr>
          <w:rFonts w:hint="eastAsia" w:hAnsi="宋体" w:cs="宋体"/>
          <w:b/>
          <w:bCs/>
          <w:color w:val="auto"/>
          <w:szCs w:val="21"/>
          <w:highlight w:val="none"/>
          <w:lang w:val="en-US" w:eastAsia="zh-CN"/>
        </w:rPr>
        <w:t>十一</w:t>
      </w:r>
      <w:r>
        <w:rPr>
          <w:rFonts w:hint="eastAsia" w:hAnsi="宋体" w:cs="宋体"/>
          <w:b/>
          <w:bCs/>
          <w:color w:val="auto"/>
          <w:szCs w:val="21"/>
          <w:highlight w:val="none"/>
        </w:rPr>
        <w:t>、争议解决</w:t>
      </w:r>
    </w:p>
    <w:p w14:paraId="15C06916">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凡因履行本合同而引起的一切争议或与本合同有关的争议，应由当事各方通过友好协商解决。协商不成时，当事各方同意提交常州仲裁委员会仲裁。</w:t>
      </w:r>
    </w:p>
    <w:p w14:paraId="07AC373B">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Ansi="宋体" w:cs="宋体"/>
          <w:b/>
          <w:bCs/>
          <w:color w:val="auto"/>
          <w:szCs w:val="21"/>
          <w:highlight w:val="none"/>
        </w:rPr>
      </w:pPr>
      <w:r>
        <w:rPr>
          <w:rFonts w:hint="eastAsia" w:hAnsi="宋体" w:cs="宋体"/>
          <w:b/>
          <w:bCs/>
          <w:color w:val="auto"/>
          <w:szCs w:val="21"/>
          <w:highlight w:val="none"/>
        </w:rPr>
        <w:t>十</w:t>
      </w:r>
      <w:r>
        <w:rPr>
          <w:rFonts w:hint="eastAsia" w:hAnsi="宋体" w:cs="宋体"/>
          <w:b/>
          <w:bCs/>
          <w:color w:val="auto"/>
          <w:szCs w:val="21"/>
          <w:highlight w:val="none"/>
          <w:lang w:val="en-US" w:eastAsia="zh-CN"/>
        </w:rPr>
        <w:t>二</w:t>
      </w:r>
      <w:r>
        <w:rPr>
          <w:rFonts w:hint="eastAsia" w:hAnsi="宋体" w:cs="宋体"/>
          <w:b/>
          <w:bCs/>
          <w:color w:val="auto"/>
          <w:szCs w:val="21"/>
          <w:highlight w:val="none"/>
        </w:rPr>
        <w:t>、税费</w:t>
      </w:r>
    </w:p>
    <w:p w14:paraId="263F49BF">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color w:val="auto"/>
          <w:szCs w:val="21"/>
          <w:highlight w:val="none"/>
        </w:rPr>
      </w:pPr>
      <w:r>
        <w:rPr>
          <w:rFonts w:hint="eastAsia" w:hAnsi="宋体" w:cs="宋体"/>
          <w:color w:val="auto"/>
          <w:szCs w:val="21"/>
          <w:highlight w:val="none"/>
        </w:rPr>
        <w:t>根据现行税法所征收的一切税费均由各缴税责任方独立承担。在中国境外发生的与本合同相关的一切税费及不可预见费均由乙方负担。</w:t>
      </w:r>
    </w:p>
    <w:p w14:paraId="7839C6D6">
      <w:pPr>
        <w:pStyle w:val="11"/>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Ansi="宋体" w:cs="宋体"/>
          <w:b/>
          <w:bCs/>
          <w:color w:val="auto"/>
          <w:szCs w:val="21"/>
          <w:highlight w:val="none"/>
        </w:rPr>
      </w:pPr>
      <w:r>
        <w:rPr>
          <w:rFonts w:hint="eastAsia" w:hAnsi="宋体" w:cs="宋体"/>
          <w:b/>
          <w:bCs/>
          <w:color w:val="auto"/>
          <w:szCs w:val="21"/>
          <w:highlight w:val="none"/>
        </w:rPr>
        <w:t>十</w:t>
      </w:r>
      <w:r>
        <w:rPr>
          <w:rFonts w:hint="eastAsia" w:hAnsi="宋体" w:cs="宋体"/>
          <w:b/>
          <w:bCs/>
          <w:color w:val="auto"/>
          <w:szCs w:val="21"/>
          <w:highlight w:val="none"/>
          <w:lang w:val="en-US" w:eastAsia="zh-CN"/>
        </w:rPr>
        <w:t>三</w:t>
      </w:r>
      <w:r>
        <w:rPr>
          <w:rFonts w:hint="eastAsia" w:hAnsi="宋体" w:cs="宋体"/>
          <w:b/>
          <w:bCs/>
          <w:color w:val="auto"/>
          <w:szCs w:val="21"/>
          <w:highlight w:val="none"/>
        </w:rPr>
        <w:t>、附则</w:t>
      </w:r>
    </w:p>
    <w:p w14:paraId="02C34CE7">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rPr>
      </w:pPr>
      <w:r>
        <w:rPr>
          <w:rFonts w:hint="eastAsia" w:hAnsi="宋体" w:cs="宋体"/>
          <w:color w:val="auto"/>
          <w:szCs w:val="21"/>
          <w:highlight w:val="none"/>
        </w:rPr>
        <w:t>1.本合同一式</w:t>
      </w:r>
      <w:r>
        <w:rPr>
          <w:rFonts w:hint="eastAsia" w:hAnsi="宋体" w:cs="宋体"/>
          <w:color w:val="auto"/>
          <w:szCs w:val="21"/>
          <w:highlight w:val="none"/>
          <w:lang w:val="en-US" w:eastAsia="zh-CN"/>
        </w:rPr>
        <w:t>伍</w:t>
      </w:r>
      <w:r>
        <w:rPr>
          <w:rFonts w:hint="eastAsia" w:hAnsi="宋体" w:cs="宋体"/>
          <w:color w:val="auto"/>
          <w:szCs w:val="21"/>
          <w:highlight w:val="none"/>
        </w:rPr>
        <w:t>份，甲乙双方签字盖章后生效，甲方执</w:t>
      </w:r>
      <w:r>
        <w:rPr>
          <w:rFonts w:hint="eastAsia" w:hAnsi="宋体" w:cs="宋体"/>
          <w:color w:val="auto"/>
          <w:szCs w:val="21"/>
          <w:highlight w:val="none"/>
          <w:lang w:val="en-US" w:eastAsia="zh-CN"/>
        </w:rPr>
        <w:t>叁</w:t>
      </w:r>
      <w:r>
        <w:rPr>
          <w:rFonts w:hint="eastAsia" w:hAnsi="宋体" w:cs="宋体"/>
          <w:color w:val="auto"/>
          <w:szCs w:val="21"/>
          <w:highlight w:val="none"/>
        </w:rPr>
        <w:t>份、乙方执贰份。</w:t>
      </w:r>
    </w:p>
    <w:p w14:paraId="5A44D581">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eastAsia" w:hAnsi="宋体" w:cs="宋体"/>
          <w:color w:val="auto"/>
          <w:szCs w:val="21"/>
          <w:highlight w:val="none"/>
        </w:rPr>
      </w:pPr>
      <w:r>
        <w:rPr>
          <w:rFonts w:hint="eastAsia" w:hAnsi="宋体" w:cs="宋体"/>
          <w:color w:val="auto"/>
          <w:szCs w:val="21"/>
          <w:highlight w:val="none"/>
        </w:rPr>
        <w:t>2.本合同未尽事宜，由双方协商解决。</w:t>
      </w:r>
    </w:p>
    <w:p w14:paraId="77DA5259">
      <w:pPr>
        <w:pStyle w:val="11"/>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Ansi="宋体" w:cs="宋体"/>
          <w:b/>
          <w:bCs/>
          <w:color w:val="auto"/>
          <w:kern w:val="0"/>
          <w:szCs w:val="21"/>
          <w:highlight w:val="none"/>
          <w:lang w:bidi="ar"/>
        </w:rPr>
      </w:pPr>
      <w:r>
        <w:rPr>
          <w:rFonts w:hint="eastAsia" w:hAnsi="宋体" w:cs="宋体"/>
          <w:color w:val="auto"/>
          <w:szCs w:val="21"/>
          <w:highlight w:val="none"/>
        </w:rPr>
        <w:t>3.本合同应按照中华人民共和国的现行法律进行解释，条款中如与国家规定、条例有抵触的，则该条款无效并按国家规定和条例执行，合同的</w:t>
      </w:r>
      <w:r>
        <w:rPr>
          <w:rFonts w:hint="eastAsia" w:hAnsi="宋体" w:cs="宋体"/>
          <w:color w:val="auto"/>
          <w:szCs w:val="21"/>
          <w:highlight w:val="none"/>
          <w:lang w:eastAsia="zh-CN"/>
        </w:rPr>
        <w:t>其他</w:t>
      </w:r>
      <w:r>
        <w:rPr>
          <w:rFonts w:hint="eastAsia" w:hAnsi="宋体" w:cs="宋体"/>
          <w:color w:val="auto"/>
          <w:szCs w:val="21"/>
          <w:highlight w:val="none"/>
        </w:rPr>
        <w:t>条款继续有效。</w:t>
      </w:r>
      <w:r>
        <w:rPr>
          <w:rFonts w:hAnsi="宋体" w:cs="宋体"/>
          <w:color w:val="auto"/>
          <w:szCs w:val="21"/>
          <w:highlight w:val="none"/>
        </w:rPr>
        <w:t xml:space="preserve"> </w:t>
      </w:r>
      <w:r>
        <w:rPr>
          <w:rFonts w:hAnsi="宋体" w:cs="宋体"/>
          <w:b/>
          <w:bCs/>
          <w:color w:val="auto"/>
          <w:kern w:val="0"/>
          <w:szCs w:val="21"/>
          <w:highlight w:val="none"/>
          <w:lang w:bidi="ar"/>
        </w:rPr>
        <w:t xml:space="preserve"> </w:t>
      </w:r>
    </w:p>
    <w:p w14:paraId="561DEB0B">
      <w:pPr>
        <w:pStyle w:val="5"/>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hAnsi="宋体" w:cs="宋体"/>
          <w:b/>
          <w:bCs/>
          <w:color w:val="auto"/>
          <w:kern w:val="0"/>
          <w:sz w:val="21"/>
          <w:szCs w:val="21"/>
          <w:highlight w:val="none"/>
          <w:lang w:bidi="ar"/>
        </w:rPr>
      </w:pPr>
    </w:p>
    <w:p w14:paraId="70E98480">
      <w:pPr>
        <w:pStyle w:val="8"/>
        <w:keepNext w:val="0"/>
        <w:keepLines w:val="0"/>
        <w:pageBreakBefore w:val="0"/>
        <w:widowControl w:val="0"/>
        <w:kinsoku/>
        <w:wordWrap/>
        <w:overflowPunct/>
        <w:topLinePunct/>
        <w:autoSpaceDE/>
        <w:autoSpaceDN/>
        <w:bidi w:val="0"/>
        <w:adjustRightInd w:val="0"/>
        <w:snapToGrid w:val="0"/>
        <w:spacing w:before="0"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附件1：人员配置表</w:t>
      </w:r>
    </w:p>
    <w:p w14:paraId="782900B0">
      <w:pPr>
        <w:pStyle w:val="8"/>
        <w:keepNext w:val="0"/>
        <w:keepLines w:val="0"/>
        <w:pageBreakBefore w:val="0"/>
        <w:widowControl w:val="0"/>
        <w:kinsoku/>
        <w:wordWrap/>
        <w:overflowPunct/>
        <w:topLinePunct/>
        <w:autoSpaceDE/>
        <w:autoSpaceDN/>
        <w:bidi w:val="0"/>
        <w:adjustRightInd w:val="0"/>
        <w:snapToGrid w:val="0"/>
        <w:spacing w:before="0"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项目价格及</w:t>
      </w:r>
      <w:r>
        <w:rPr>
          <w:rFonts w:hint="eastAsia" w:ascii="宋体" w:hAnsi="宋体" w:eastAsia="宋体" w:cs="宋体"/>
          <w:color w:val="auto"/>
          <w:sz w:val="21"/>
          <w:szCs w:val="21"/>
          <w:highlight w:val="none"/>
        </w:rPr>
        <w:t>合同价格表</w:t>
      </w:r>
    </w:p>
    <w:p w14:paraId="3B5A2C6C">
      <w:pPr>
        <w:pStyle w:val="8"/>
        <w:keepNext w:val="0"/>
        <w:keepLines w:val="0"/>
        <w:pageBreakBefore w:val="0"/>
        <w:widowControl w:val="0"/>
        <w:kinsoku/>
        <w:wordWrap/>
        <w:overflowPunct/>
        <w:topLinePunct/>
        <w:autoSpaceDE/>
        <w:autoSpaceDN/>
        <w:bidi w:val="0"/>
        <w:adjustRightInd w:val="0"/>
        <w:snapToGrid w:val="0"/>
        <w:spacing w:before="0"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附件3：常州市钟楼区行政中心机关食堂餐饮服务及管理项目考核评分标准</w:t>
      </w:r>
    </w:p>
    <w:p w14:paraId="2D4A1A21"/>
    <w:p w14:paraId="4BA091D8">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color w:val="auto"/>
          <w:sz w:val="21"/>
          <w:szCs w:val="21"/>
          <w:highlight w:val="none"/>
        </w:rPr>
      </w:pPr>
    </w:p>
    <w:p w14:paraId="107BF6B6">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甲方(公章)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乙方(公章)</w:t>
      </w:r>
      <w:r>
        <w:rPr>
          <w:rFonts w:hint="eastAsia" w:ascii="宋体" w:hAnsi="宋体" w:eastAsia="宋体" w:cs="宋体"/>
          <w:color w:val="auto"/>
          <w:sz w:val="21"/>
          <w:szCs w:val="21"/>
          <w:highlight w:val="none"/>
          <w:lang w:eastAsia="zh-CN"/>
        </w:rPr>
        <w:t>：</w:t>
      </w:r>
    </w:p>
    <w:p w14:paraId="37099E14">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法定代表人：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w:t>
      </w:r>
    </w:p>
    <w:p w14:paraId="15855C4C">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代理人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代理人</w:t>
      </w:r>
      <w:r>
        <w:rPr>
          <w:rFonts w:hint="eastAsia" w:ascii="宋体" w:hAnsi="宋体" w:eastAsia="宋体" w:cs="宋体"/>
          <w:color w:val="auto"/>
          <w:sz w:val="21"/>
          <w:szCs w:val="21"/>
          <w:highlight w:val="none"/>
          <w:lang w:eastAsia="zh-CN"/>
        </w:rPr>
        <w:t>：</w:t>
      </w:r>
    </w:p>
    <w:p w14:paraId="6A2488EA">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经办人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电话</w:t>
      </w:r>
      <w:r>
        <w:rPr>
          <w:rFonts w:hint="eastAsia" w:ascii="宋体" w:hAnsi="宋体" w:eastAsia="宋体" w:cs="宋体"/>
          <w:color w:val="auto"/>
          <w:sz w:val="21"/>
          <w:szCs w:val="21"/>
          <w:highlight w:val="none"/>
          <w:lang w:eastAsia="zh-CN"/>
        </w:rPr>
        <w:t>：</w:t>
      </w:r>
    </w:p>
    <w:p w14:paraId="66D3DA62">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开户银行：</w:t>
      </w:r>
    </w:p>
    <w:p w14:paraId="475B5B66">
      <w:pPr>
        <w:keepNext w:val="0"/>
        <w:keepLines w:val="0"/>
        <w:pageBreakBefore w:val="0"/>
        <w:widowControl w:val="0"/>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银行</w:t>
      </w:r>
      <w:r>
        <w:rPr>
          <w:rFonts w:hint="eastAsia" w:ascii="宋体" w:hAnsi="宋体" w:cs="宋体"/>
          <w:color w:val="auto"/>
          <w:sz w:val="21"/>
          <w:szCs w:val="21"/>
          <w:highlight w:val="none"/>
          <w:lang w:val="en-US" w:eastAsia="zh-CN"/>
        </w:rPr>
        <w:t>账号</w:t>
      </w:r>
      <w:r>
        <w:rPr>
          <w:rFonts w:hint="eastAsia" w:ascii="宋体" w:hAnsi="宋体" w:eastAsia="宋体" w:cs="宋体"/>
          <w:color w:val="auto"/>
          <w:sz w:val="21"/>
          <w:szCs w:val="21"/>
          <w:highlight w:val="none"/>
        </w:rPr>
        <w:t xml:space="preserve">：                                                                                </w:t>
      </w:r>
    </w:p>
    <w:p w14:paraId="6955E968">
      <w:pPr>
        <w:pStyle w:val="17"/>
        <w:keepNext w:val="0"/>
        <w:keepLines w:val="0"/>
        <w:pageBreakBefore w:val="0"/>
        <w:widowControl w:val="0"/>
        <w:kinsoku/>
        <w:wordWrap/>
        <w:overflowPunct/>
        <w:topLinePunct/>
        <w:autoSpaceDE/>
        <w:autoSpaceDN/>
        <w:bidi w:val="0"/>
        <w:adjustRightInd w:val="0"/>
        <w:snapToGrid w:val="0"/>
        <w:spacing w:after="0" w:line="360" w:lineRule="auto"/>
        <w:ind w:left="0" w:leftChars="0" w:firstLine="0" w:firstLineChars="0"/>
        <w:textAlignment w:val="auto"/>
        <w:outlineLvl w:val="9"/>
        <w:rPr>
          <w:rFonts w:hint="eastAsia" w:ascii="宋体" w:hAnsi="宋体" w:eastAsia="宋体" w:cs="宋体"/>
          <w:b/>
          <w:bCs/>
          <w:color w:val="auto"/>
          <w:sz w:val="21"/>
          <w:szCs w:val="21"/>
          <w:highlight w:val="none"/>
          <w:lang w:val="en-US" w:eastAsia="zh-CN"/>
        </w:rPr>
      </w:pPr>
    </w:p>
    <w:p w14:paraId="450B55B4">
      <w:pPr>
        <w:pStyle w:val="17"/>
        <w:keepNext w:val="0"/>
        <w:keepLines w:val="0"/>
        <w:pageBreakBefore w:val="0"/>
        <w:widowControl w:val="0"/>
        <w:kinsoku/>
        <w:wordWrap/>
        <w:overflowPunct/>
        <w:topLinePunct/>
        <w:autoSpaceDE/>
        <w:autoSpaceDN/>
        <w:bidi w:val="0"/>
        <w:adjustRightInd w:val="0"/>
        <w:snapToGrid w:val="0"/>
        <w:spacing w:after="0" w:line="360" w:lineRule="auto"/>
        <w:ind w:left="0" w:leftChars="0" w:firstLine="0" w:firstLineChars="0"/>
        <w:textAlignment w:val="auto"/>
        <w:outlineLvl w:val="9"/>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              </w:t>
      </w:r>
    </w:p>
    <w:p w14:paraId="55D6CBB4">
      <w:pPr>
        <w:pStyle w:val="17"/>
        <w:keepNext w:val="0"/>
        <w:keepLines w:val="0"/>
        <w:pageBreakBefore w:val="0"/>
        <w:widowControl w:val="0"/>
        <w:kinsoku/>
        <w:wordWrap/>
        <w:overflowPunct/>
        <w:topLinePunct/>
        <w:autoSpaceDE/>
        <w:autoSpaceDN/>
        <w:bidi w:val="0"/>
        <w:adjustRightInd w:val="0"/>
        <w:snapToGrid w:val="0"/>
        <w:spacing w:after="0" w:line="360" w:lineRule="auto"/>
        <w:ind w:left="0" w:leftChars="0" w:firstLine="0" w:firstLineChars="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签订地点：</w:t>
      </w:r>
    </w:p>
    <w:p w14:paraId="3A8FA24B">
      <w:pPr>
        <w:pStyle w:val="17"/>
        <w:keepNext w:val="0"/>
        <w:keepLines w:val="0"/>
        <w:pageBreakBefore w:val="0"/>
        <w:widowControl w:val="0"/>
        <w:kinsoku/>
        <w:wordWrap/>
        <w:overflowPunct/>
        <w:topLinePunct/>
        <w:autoSpaceDE/>
        <w:autoSpaceDN/>
        <w:bidi w:val="0"/>
        <w:adjustRightInd w:val="0"/>
        <w:snapToGrid w:val="0"/>
        <w:spacing w:after="0" w:line="360" w:lineRule="auto"/>
        <w:ind w:left="0" w:leftChars="0" w:firstLine="0" w:firstLineChars="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签订时间：</w:t>
      </w:r>
      <w:r>
        <w:rPr>
          <w:rFonts w:hint="eastAsia" w:ascii="宋体" w:hAnsi="宋体" w:cs="宋体"/>
          <w:b/>
          <w:bCs/>
          <w:color w:val="auto"/>
          <w:sz w:val="21"/>
          <w:szCs w:val="21"/>
          <w:highlight w:val="none"/>
          <w:lang w:val="en-US" w:eastAsia="zh-CN"/>
        </w:rPr>
        <w:t xml:space="preserve">       年    月    日</w:t>
      </w:r>
    </w:p>
    <w:p w14:paraId="632871A6">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ADF6345">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附件1：人员配置表</w:t>
      </w:r>
    </w:p>
    <w:p w14:paraId="1B9D8A82">
      <w:pPr>
        <w:pStyle w:val="17"/>
        <w:keepNext w:val="0"/>
        <w:keepLines w:val="0"/>
        <w:pageBreakBefore w:val="0"/>
        <w:widowControl w:val="0"/>
        <w:kinsoku/>
        <w:wordWrap/>
        <w:overflowPunct/>
        <w:autoSpaceDE/>
        <w:autoSpaceDN/>
        <w:bidi w:val="0"/>
        <w:adjustRightInd w:val="0"/>
        <w:snapToGrid w:val="0"/>
        <w:spacing w:after="0" w:line="360" w:lineRule="auto"/>
        <w:ind w:left="0" w:leftChars="0" w:firstLine="0" w:firstLineChars="0"/>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人员配置表</w:t>
      </w:r>
    </w:p>
    <w:tbl>
      <w:tblPr>
        <w:tblStyle w:val="18"/>
        <w:tblW w:w="472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66"/>
        <w:gridCol w:w="1264"/>
        <w:gridCol w:w="1129"/>
        <w:gridCol w:w="907"/>
        <w:gridCol w:w="895"/>
        <w:gridCol w:w="2759"/>
        <w:gridCol w:w="1119"/>
      </w:tblGrid>
      <w:tr w14:paraId="0DCF1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04" w:type="pct"/>
            <w:gridSpan w:val="2"/>
            <w:tcBorders>
              <w:top w:val="single" w:color="auto" w:sz="4" w:space="0"/>
              <w:left w:val="single" w:color="auto" w:sz="4" w:space="0"/>
              <w:bottom w:val="single" w:color="auto" w:sz="4" w:space="0"/>
              <w:right w:val="single" w:color="auto" w:sz="4" w:space="0"/>
            </w:tcBorders>
            <w:noWrap w:val="0"/>
            <w:vAlign w:val="center"/>
          </w:tcPr>
          <w:p w14:paraId="2F7EBA4F">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项目编号</w:t>
            </w:r>
          </w:p>
        </w:tc>
        <w:tc>
          <w:tcPr>
            <w:tcW w:w="3895" w:type="pct"/>
            <w:gridSpan w:val="5"/>
            <w:tcBorders>
              <w:top w:val="single" w:color="auto" w:sz="4" w:space="0"/>
              <w:left w:val="single" w:color="auto" w:sz="4" w:space="0"/>
              <w:bottom w:val="single" w:color="auto" w:sz="4" w:space="0"/>
              <w:right w:val="single" w:color="auto" w:sz="4" w:space="0"/>
            </w:tcBorders>
            <w:noWrap w:val="0"/>
            <w:vAlign w:val="center"/>
          </w:tcPr>
          <w:p w14:paraId="65B46AB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rPr>
            </w:pPr>
          </w:p>
        </w:tc>
      </w:tr>
      <w:tr w14:paraId="57308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04" w:type="pct"/>
            <w:gridSpan w:val="2"/>
            <w:tcBorders>
              <w:top w:val="single" w:color="auto" w:sz="4" w:space="0"/>
              <w:left w:val="single" w:color="auto" w:sz="4" w:space="0"/>
              <w:bottom w:val="single" w:color="auto" w:sz="4" w:space="0"/>
              <w:right w:val="single" w:color="auto" w:sz="4" w:space="0"/>
            </w:tcBorders>
            <w:noWrap w:val="0"/>
            <w:vAlign w:val="center"/>
          </w:tcPr>
          <w:p w14:paraId="5C1A7F3B">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项目名称</w:t>
            </w:r>
          </w:p>
        </w:tc>
        <w:tc>
          <w:tcPr>
            <w:tcW w:w="3895" w:type="pct"/>
            <w:gridSpan w:val="5"/>
            <w:tcBorders>
              <w:top w:val="single" w:color="auto" w:sz="4" w:space="0"/>
              <w:left w:val="single" w:color="auto" w:sz="4" w:space="0"/>
              <w:bottom w:val="single" w:color="auto" w:sz="4" w:space="0"/>
              <w:right w:val="single" w:color="auto" w:sz="4" w:space="0"/>
            </w:tcBorders>
            <w:noWrap w:val="0"/>
            <w:vAlign w:val="center"/>
          </w:tcPr>
          <w:p w14:paraId="4E21DC36">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rPr>
            </w:pPr>
          </w:p>
        </w:tc>
      </w:tr>
      <w:tr w14:paraId="30BAE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center"/>
          </w:tcPr>
          <w:p w14:paraId="3816D584">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723" w:type="pct"/>
            <w:tcBorders>
              <w:top w:val="single" w:color="auto" w:sz="4" w:space="0"/>
              <w:left w:val="single" w:color="auto" w:sz="4" w:space="0"/>
              <w:bottom w:val="single" w:color="auto" w:sz="4" w:space="0"/>
              <w:right w:val="single" w:color="auto" w:sz="4" w:space="0"/>
            </w:tcBorders>
            <w:noWrap w:val="0"/>
            <w:vAlign w:val="center"/>
          </w:tcPr>
          <w:p w14:paraId="04576E6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岗位</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1FAB2FA0">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姓名</w:t>
            </w:r>
          </w:p>
        </w:tc>
        <w:tc>
          <w:tcPr>
            <w:tcW w:w="519" w:type="pct"/>
            <w:tcBorders>
              <w:top w:val="single" w:color="auto" w:sz="4" w:space="0"/>
              <w:left w:val="single" w:color="auto" w:sz="4" w:space="0"/>
              <w:bottom w:val="single" w:color="auto" w:sz="4" w:space="0"/>
              <w:right w:val="single" w:color="auto" w:sz="4" w:space="0"/>
            </w:tcBorders>
            <w:noWrap w:val="0"/>
            <w:vAlign w:val="center"/>
          </w:tcPr>
          <w:p w14:paraId="21644902">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性别</w:t>
            </w:r>
          </w:p>
        </w:tc>
        <w:tc>
          <w:tcPr>
            <w:tcW w:w="512" w:type="pct"/>
            <w:tcBorders>
              <w:top w:val="single" w:color="auto" w:sz="4" w:space="0"/>
              <w:left w:val="single" w:color="auto" w:sz="4" w:space="0"/>
              <w:bottom w:val="single" w:color="auto" w:sz="4" w:space="0"/>
              <w:right w:val="single" w:color="auto" w:sz="4" w:space="0"/>
            </w:tcBorders>
            <w:noWrap w:val="0"/>
            <w:vAlign w:val="center"/>
          </w:tcPr>
          <w:p w14:paraId="495C41D6">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年龄</w:t>
            </w:r>
          </w:p>
        </w:tc>
        <w:tc>
          <w:tcPr>
            <w:tcW w:w="1578" w:type="pct"/>
            <w:tcBorders>
              <w:top w:val="single" w:color="auto" w:sz="4" w:space="0"/>
              <w:left w:val="single" w:color="auto" w:sz="4" w:space="0"/>
              <w:bottom w:val="single" w:color="auto" w:sz="4" w:space="0"/>
              <w:right w:val="single" w:color="auto" w:sz="4" w:space="0"/>
            </w:tcBorders>
            <w:noWrap w:val="0"/>
            <w:vAlign w:val="center"/>
          </w:tcPr>
          <w:p w14:paraId="08FB3E65">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持有证书</w:t>
            </w:r>
          </w:p>
        </w:tc>
        <w:tc>
          <w:tcPr>
            <w:tcW w:w="638" w:type="pct"/>
            <w:tcBorders>
              <w:top w:val="single" w:color="auto" w:sz="4" w:space="0"/>
              <w:left w:val="single" w:color="auto" w:sz="4" w:space="0"/>
              <w:bottom w:val="single" w:color="auto" w:sz="4" w:space="0"/>
              <w:right w:val="single" w:color="auto" w:sz="4" w:space="0"/>
            </w:tcBorders>
            <w:noWrap w:val="0"/>
            <w:vAlign w:val="center"/>
          </w:tcPr>
          <w:p w14:paraId="790225FF">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备注</w:t>
            </w:r>
          </w:p>
        </w:tc>
      </w:tr>
      <w:tr w14:paraId="3204B8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top"/>
          </w:tcPr>
          <w:p w14:paraId="2FBE59AE">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723" w:type="pct"/>
            <w:tcBorders>
              <w:top w:val="single" w:color="auto" w:sz="4" w:space="0"/>
              <w:left w:val="single" w:color="auto" w:sz="4" w:space="0"/>
              <w:bottom w:val="single" w:color="auto" w:sz="4" w:space="0"/>
              <w:right w:val="single" w:color="auto" w:sz="4" w:space="0"/>
            </w:tcBorders>
            <w:noWrap w:val="0"/>
            <w:vAlign w:val="top"/>
          </w:tcPr>
          <w:p w14:paraId="1D2BD4B0">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646" w:type="pct"/>
            <w:tcBorders>
              <w:top w:val="single" w:color="auto" w:sz="4" w:space="0"/>
              <w:left w:val="single" w:color="auto" w:sz="4" w:space="0"/>
              <w:bottom w:val="single" w:color="auto" w:sz="4" w:space="0"/>
              <w:right w:val="single" w:color="auto" w:sz="4" w:space="0"/>
            </w:tcBorders>
            <w:noWrap w:val="0"/>
            <w:vAlign w:val="top"/>
          </w:tcPr>
          <w:p w14:paraId="7C3D713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519" w:type="pct"/>
            <w:tcBorders>
              <w:top w:val="single" w:color="auto" w:sz="4" w:space="0"/>
              <w:left w:val="single" w:color="auto" w:sz="4" w:space="0"/>
              <w:bottom w:val="single" w:color="auto" w:sz="4" w:space="0"/>
              <w:right w:val="single" w:color="auto" w:sz="4" w:space="0"/>
            </w:tcBorders>
            <w:noWrap w:val="0"/>
            <w:vAlign w:val="top"/>
          </w:tcPr>
          <w:p w14:paraId="77D56D6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512" w:type="pct"/>
            <w:tcBorders>
              <w:top w:val="single" w:color="auto" w:sz="4" w:space="0"/>
              <w:left w:val="single" w:color="auto" w:sz="4" w:space="0"/>
              <w:bottom w:val="single" w:color="auto" w:sz="4" w:space="0"/>
              <w:right w:val="single" w:color="auto" w:sz="4" w:space="0"/>
            </w:tcBorders>
            <w:noWrap w:val="0"/>
            <w:vAlign w:val="top"/>
          </w:tcPr>
          <w:p w14:paraId="7ACE59F5">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w:t>
            </w:r>
          </w:p>
        </w:tc>
        <w:tc>
          <w:tcPr>
            <w:tcW w:w="1578" w:type="pct"/>
            <w:tcBorders>
              <w:top w:val="single" w:color="auto" w:sz="4" w:space="0"/>
              <w:left w:val="single" w:color="auto" w:sz="4" w:space="0"/>
              <w:bottom w:val="single" w:color="auto" w:sz="4" w:space="0"/>
              <w:right w:val="single" w:color="auto" w:sz="4" w:space="0"/>
            </w:tcBorders>
            <w:noWrap w:val="0"/>
            <w:vAlign w:val="top"/>
          </w:tcPr>
          <w:p w14:paraId="6F9700B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638" w:type="pct"/>
            <w:tcBorders>
              <w:top w:val="single" w:color="auto" w:sz="4" w:space="0"/>
              <w:left w:val="single" w:color="auto" w:sz="4" w:space="0"/>
              <w:bottom w:val="single" w:color="auto" w:sz="4" w:space="0"/>
              <w:right w:val="single" w:color="auto" w:sz="4" w:space="0"/>
            </w:tcBorders>
            <w:noWrap w:val="0"/>
            <w:vAlign w:val="top"/>
          </w:tcPr>
          <w:p w14:paraId="74C52D2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p w14:paraId="02FB7416">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r>
      <w:tr w14:paraId="4BC099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top"/>
          </w:tcPr>
          <w:p w14:paraId="1FB72038">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723" w:type="pct"/>
            <w:tcBorders>
              <w:top w:val="single" w:color="auto" w:sz="4" w:space="0"/>
              <w:left w:val="single" w:color="auto" w:sz="4" w:space="0"/>
              <w:bottom w:val="single" w:color="auto" w:sz="4" w:space="0"/>
              <w:right w:val="single" w:color="auto" w:sz="4" w:space="0"/>
            </w:tcBorders>
            <w:noWrap w:val="0"/>
            <w:vAlign w:val="top"/>
          </w:tcPr>
          <w:p w14:paraId="1F80900A">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646" w:type="pct"/>
            <w:tcBorders>
              <w:top w:val="single" w:color="auto" w:sz="4" w:space="0"/>
              <w:left w:val="single" w:color="auto" w:sz="4" w:space="0"/>
              <w:bottom w:val="single" w:color="auto" w:sz="4" w:space="0"/>
              <w:right w:val="single" w:color="auto" w:sz="4" w:space="0"/>
            </w:tcBorders>
            <w:noWrap w:val="0"/>
            <w:vAlign w:val="top"/>
          </w:tcPr>
          <w:p w14:paraId="23EAFF38">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519" w:type="pct"/>
            <w:tcBorders>
              <w:top w:val="single" w:color="auto" w:sz="4" w:space="0"/>
              <w:left w:val="single" w:color="auto" w:sz="4" w:space="0"/>
              <w:bottom w:val="single" w:color="auto" w:sz="4" w:space="0"/>
              <w:right w:val="single" w:color="auto" w:sz="4" w:space="0"/>
            </w:tcBorders>
            <w:noWrap w:val="0"/>
            <w:vAlign w:val="top"/>
          </w:tcPr>
          <w:p w14:paraId="62E24F0F">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512" w:type="pct"/>
            <w:tcBorders>
              <w:top w:val="single" w:color="auto" w:sz="4" w:space="0"/>
              <w:left w:val="single" w:color="auto" w:sz="4" w:space="0"/>
              <w:bottom w:val="single" w:color="auto" w:sz="4" w:space="0"/>
              <w:right w:val="single" w:color="auto" w:sz="4" w:space="0"/>
            </w:tcBorders>
            <w:noWrap w:val="0"/>
            <w:vAlign w:val="top"/>
          </w:tcPr>
          <w:p w14:paraId="66EC20E0">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w:t>
            </w:r>
          </w:p>
        </w:tc>
        <w:tc>
          <w:tcPr>
            <w:tcW w:w="1578" w:type="pct"/>
            <w:tcBorders>
              <w:top w:val="single" w:color="auto" w:sz="4" w:space="0"/>
              <w:left w:val="single" w:color="auto" w:sz="4" w:space="0"/>
              <w:bottom w:val="single" w:color="auto" w:sz="4" w:space="0"/>
              <w:right w:val="single" w:color="auto" w:sz="4" w:space="0"/>
            </w:tcBorders>
            <w:noWrap w:val="0"/>
            <w:vAlign w:val="top"/>
          </w:tcPr>
          <w:p w14:paraId="1F79B595">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638" w:type="pct"/>
            <w:tcBorders>
              <w:top w:val="single" w:color="auto" w:sz="4" w:space="0"/>
              <w:left w:val="single" w:color="auto" w:sz="4" w:space="0"/>
              <w:bottom w:val="single" w:color="auto" w:sz="4" w:space="0"/>
              <w:right w:val="single" w:color="auto" w:sz="4" w:space="0"/>
            </w:tcBorders>
            <w:noWrap w:val="0"/>
            <w:vAlign w:val="top"/>
          </w:tcPr>
          <w:p w14:paraId="40ED825A">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p w14:paraId="599B85F4">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r>
      <w:tr w14:paraId="5AFC7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top"/>
          </w:tcPr>
          <w:p w14:paraId="33A876FE">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723" w:type="pct"/>
            <w:tcBorders>
              <w:top w:val="single" w:color="auto" w:sz="4" w:space="0"/>
              <w:left w:val="single" w:color="auto" w:sz="4" w:space="0"/>
              <w:bottom w:val="single" w:color="auto" w:sz="4" w:space="0"/>
              <w:right w:val="single" w:color="auto" w:sz="4" w:space="0"/>
            </w:tcBorders>
            <w:noWrap w:val="0"/>
            <w:vAlign w:val="top"/>
          </w:tcPr>
          <w:p w14:paraId="1B8879F7">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646" w:type="pct"/>
            <w:tcBorders>
              <w:top w:val="single" w:color="auto" w:sz="4" w:space="0"/>
              <w:left w:val="single" w:color="auto" w:sz="4" w:space="0"/>
              <w:bottom w:val="single" w:color="auto" w:sz="4" w:space="0"/>
              <w:right w:val="single" w:color="auto" w:sz="4" w:space="0"/>
            </w:tcBorders>
            <w:noWrap w:val="0"/>
            <w:vAlign w:val="top"/>
          </w:tcPr>
          <w:p w14:paraId="100E28C0">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519" w:type="pct"/>
            <w:tcBorders>
              <w:top w:val="single" w:color="auto" w:sz="4" w:space="0"/>
              <w:left w:val="single" w:color="auto" w:sz="4" w:space="0"/>
              <w:bottom w:val="single" w:color="auto" w:sz="4" w:space="0"/>
              <w:right w:val="single" w:color="auto" w:sz="4" w:space="0"/>
            </w:tcBorders>
            <w:noWrap w:val="0"/>
            <w:vAlign w:val="top"/>
          </w:tcPr>
          <w:p w14:paraId="23F04C6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512" w:type="pct"/>
            <w:tcBorders>
              <w:top w:val="single" w:color="auto" w:sz="4" w:space="0"/>
              <w:left w:val="single" w:color="auto" w:sz="4" w:space="0"/>
              <w:bottom w:val="single" w:color="auto" w:sz="4" w:space="0"/>
              <w:right w:val="single" w:color="auto" w:sz="4" w:space="0"/>
            </w:tcBorders>
            <w:noWrap w:val="0"/>
            <w:vAlign w:val="top"/>
          </w:tcPr>
          <w:p w14:paraId="6FC45A85">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highlight w:val="none"/>
                <w:lang w:val="en-US" w:eastAsia="zh-CN"/>
              </w:rPr>
            </w:pPr>
          </w:p>
        </w:tc>
        <w:tc>
          <w:tcPr>
            <w:tcW w:w="1578" w:type="pct"/>
            <w:tcBorders>
              <w:top w:val="single" w:color="auto" w:sz="4" w:space="0"/>
              <w:left w:val="single" w:color="auto" w:sz="4" w:space="0"/>
              <w:bottom w:val="single" w:color="auto" w:sz="4" w:space="0"/>
              <w:right w:val="single" w:color="auto" w:sz="4" w:space="0"/>
            </w:tcBorders>
            <w:noWrap w:val="0"/>
            <w:vAlign w:val="top"/>
          </w:tcPr>
          <w:p w14:paraId="6025DA38">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638" w:type="pct"/>
            <w:tcBorders>
              <w:top w:val="single" w:color="auto" w:sz="4" w:space="0"/>
              <w:left w:val="single" w:color="auto" w:sz="4" w:space="0"/>
              <w:bottom w:val="single" w:color="auto" w:sz="4" w:space="0"/>
              <w:right w:val="single" w:color="auto" w:sz="4" w:space="0"/>
            </w:tcBorders>
            <w:noWrap w:val="0"/>
            <w:vAlign w:val="top"/>
          </w:tcPr>
          <w:p w14:paraId="7A522C14">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r>
      <w:tr w14:paraId="0CC1DA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top"/>
          </w:tcPr>
          <w:p w14:paraId="5F090E5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723" w:type="pct"/>
            <w:tcBorders>
              <w:top w:val="single" w:color="auto" w:sz="4" w:space="0"/>
              <w:left w:val="single" w:color="auto" w:sz="4" w:space="0"/>
              <w:bottom w:val="single" w:color="auto" w:sz="4" w:space="0"/>
              <w:right w:val="single" w:color="auto" w:sz="4" w:space="0"/>
            </w:tcBorders>
            <w:noWrap w:val="0"/>
            <w:vAlign w:val="top"/>
          </w:tcPr>
          <w:p w14:paraId="202D1D14">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646" w:type="pct"/>
            <w:tcBorders>
              <w:top w:val="single" w:color="auto" w:sz="4" w:space="0"/>
              <w:left w:val="single" w:color="auto" w:sz="4" w:space="0"/>
              <w:bottom w:val="single" w:color="auto" w:sz="4" w:space="0"/>
              <w:right w:val="single" w:color="auto" w:sz="4" w:space="0"/>
            </w:tcBorders>
            <w:noWrap w:val="0"/>
            <w:vAlign w:val="top"/>
          </w:tcPr>
          <w:p w14:paraId="236AD46E">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519" w:type="pct"/>
            <w:tcBorders>
              <w:top w:val="single" w:color="auto" w:sz="4" w:space="0"/>
              <w:left w:val="single" w:color="auto" w:sz="4" w:space="0"/>
              <w:bottom w:val="single" w:color="auto" w:sz="4" w:space="0"/>
              <w:right w:val="single" w:color="auto" w:sz="4" w:space="0"/>
            </w:tcBorders>
            <w:noWrap w:val="0"/>
            <w:vAlign w:val="top"/>
          </w:tcPr>
          <w:p w14:paraId="7E039B36">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512" w:type="pct"/>
            <w:tcBorders>
              <w:top w:val="single" w:color="auto" w:sz="4" w:space="0"/>
              <w:left w:val="single" w:color="auto" w:sz="4" w:space="0"/>
              <w:bottom w:val="single" w:color="auto" w:sz="4" w:space="0"/>
              <w:right w:val="single" w:color="auto" w:sz="4" w:space="0"/>
            </w:tcBorders>
            <w:noWrap w:val="0"/>
            <w:vAlign w:val="top"/>
          </w:tcPr>
          <w:p w14:paraId="734835A4">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1578" w:type="pct"/>
            <w:tcBorders>
              <w:top w:val="single" w:color="auto" w:sz="4" w:space="0"/>
              <w:left w:val="single" w:color="auto" w:sz="4" w:space="0"/>
              <w:bottom w:val="single" w:color="auto" w:sz="4" w:space="0"/>
              <w:right w:val="single" w:color="auto" w:sz="4" w:space="0"/>
            </w:tcBorders>
            <w:noWrap w:val="0"/>
            <w:vAlign w:val="top"/>
          </w:tcPr>
          <w:p w14:paraId="653E81C6">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638" w:type="pct"/>
            <w:tcBorders>
              <w:top w:val="single" w:color="auto" w:sz="4" w:space="0"/>
              <w:left w:val="single" w:color="auto" w:sz="4" w:space="0"/>
              <w:bottom w:val="single" w:color="auto" w:sz="4" w:space="0"/>
              <w:right w:val="single" w:color="auto" w:sz="4" w:space="0"/>
            </w:tcBorders>
            <w:noWrap w:val="0"/>
            <w:vAlign w:val="top"/>
          </w:tcPr>
          <w:p w14:paraId="3DB16387">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r>
      <w:tr w14:paraId="7A918E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top"/>
          </w:tcPr>
          <w:p w14:paraId="3DFD78D6">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723" w:type="pct"/>
            <w:tcBorders>
              <w:top w:val="single" w:color="auto" w:sz="4" w:space="0"/>
              <w:left w:val="single" w:color="auto" w:sz="4" w:space="0"/>
              <w:bottom w:val="single" w:color="auto" w:sz="4" w:space="0"/>
              <w:right w:val="single" w:color="auto" w:sz="4" w:space="0"/>
            </w:tcBorders>
            <w:noWrap w:val="0"/>
            <w:vAlign w:val="top"/>
          </w:tcPr>
          <w:p w14:paraId="70871CB0">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646" w:type="pct"/>
            <w:tcBorders>
              <w:top w:val="single" w:color="auto" w:sz="4" w:space="0"/>
              <w:left w:val="single" w:color="auto" w:sz="4" w:space="0"/>
              <w:bottom w:val="single" w:color="auto" w:sz="4" w:space="0"/>
              <w:right w:val="single" w:color="auto" w:sz="4" w:space="0"/>
            </w:tcBorders>
            <w:noWrap w:val="0"/>
            <w:vAlign w:val="top"/>
          </w:tcPr>
          <w:p w14:paraId="481C053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519" w:type="pct"/>
            <w:tcBorders>
              <w:top w:val="single" w:color="auto" w:sz="4" w:space="0"/>
              <w:left w:val="single" w:color="auto" w:sz="4" w:space="0"/>
              <w:bottom w:val="single" w:color="auto" w:sz="4" w:space="0"/>
              <w:right w:val="single" w:color="auto" w:sz="4" w:space="0"/>
            </w:tcBorders>
            <w:noWrap w:val="0"/>
            <w:vAlign w:val="top"/>
          </w:tcPr>
          <w:p w14:paraId="609A582C">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512" w:type="pct"/>
            <w:tcBorders>
              <w:top w:val="single" w:color="auto" w:sz="4" w:space="0"/>
              <w:left w:val="single" w:color="auto" w:sz="4" w:space="0"/>
              <w:bottom w:val="single" w:color="auto" w:sz="4" w:space="0"/>
              <w:right w:val="single" w:color="auto" w:sz="4" w:space="0"/>
            </w:tcBorders>
            <w:noWrap w:val="0"/>
            <w:vAlign w:val="top"/>
          </w:tcPr>
          <w:p w14:paraId="07FD4DFF">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1578" w:type="pct"/>
            <w:tcBorders>
              <w:top w:val="single" w:color="auto" w:sz="4" w:space="0"/>
              <w:left w:val="single" w:color="auto" w:sz="4" w:space="0"/>
              <w:bottom w:val="single" w:color="auto" w:sz="4" w:space="0"/>
              <w:right w:val="single" w:color="auto" w:sz="4" w:space="0"/>
            </w:tcBorders>
            <w:noWrap w:val="0"/>
            <w:vAlign w:val="top"/>
          </w:tcPr>
          <w:p w14:paraId="59153A6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c>
          <w:tcPr>
            <w:tcW w:w="638" w:type="pct"/>
            <w:tcBorders>
              <w:top w:val="single" w:color="auto" w:sz="4" w:space="0"/>
              <w:left w:val="single" w:color="auto" w:sz="4" w:space="0"/>
              <w:bottom w:val="single" w:color="auto" w:sz="4" w:space="0"/>
              <w:right w:val="single" w:color="auto" w:sz="4" w:space="0"/>
            </w:tcBorders>
            <w:noWrap w:val="0"/>
            <w:vAlign w:val="top"/>
          </w:tcPr>
          <w:p w14:paraId="4B536FA3">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p>
        </w:tc>
      </w:tr>
      <w:tr w14:paraId="425F2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top"/>
          </w:tcPr>
          <w:p w14:paraId="50ABA07D">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723" w:type="pct"/>
            <w:tcBorders>
              <w:top w:val="single" w:color="auto" w:sz="4" w:space="0"/>
              <w:left w:val="single" w:color="auto" w:sz="4" w:space="0"/>
              <w:bottom w:val="single" w:color="auto" w:sz="4" w:space="0"/>
              <w:right w:val="single" w:color="auto" w:sz="4" w:space="0"/>
            </w:tcBorders>
            <w:noWrap w:val="0"/>
            <w:vAlign w:val="top"/>
          </w:tcPr>
          <w:p w14:paraId="457D983F">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646" w:type="pct"/>
            <w:tcBorders>
              <w:top w:val="single" w:color="auto" w:sz="4" w:space="0"/>
              <w:left w:val="single" w:color="auto" w:sz="4" w:space="0"/>
              <w:bottom w:val="single" w:color="auto" w:sz="4" w:space="0"/>
              <w:right w:val="single" w:color="auto" w:sz="4" w:space="0"/>
            </w:tcBorders>
            <w:noWrap w:val="0"/>
            <w:vAlign w:val="top"/>
          </w:tcPr>
          <w:p w14:paraId="7848B157">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519" w:type="pct"/>
            <w:tcBorders>
              <w:top w:val="single" w:color="auto" w:sz="4" w:space="0"/>
              <w:left w:val="single" w:color="auto" w:sz="4" w:space="0"/>
              <w:bottom w:val="single" w:color="auto" w:sz="4" w:space="0"/>
              <w:right w:val="single" w:color="auto" w:sz="4" w:space="0"/>
            </w:tcBorders>
            <w:noWrap w:val="0"/>
            <w:vAlign w:val="top"/>
          </w:tcPr>
          <w:p w14:paraId="3ED4FF12">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512" w:type="pct"/>
            <w:tcBorders>
              <w:top w:val="single" w:color="auto" w:sz="4" w:space="0"/>
              <w:left w:val="single" w:color="auto" w:sz="4" w:space="0"/>
              <w:bottom w:val="single" w:color="auto" w:sz="4" w:space="0"/>
              <w:right w:val="single" w:color="auto" w:sz="4" w:space="0"/>
            </w:tcBorders>
            <w:noWrap w:val="0"/>
            <w:vAlign w:val="top"/>
          </w:tcPr>
          <w:p w14:paraId="4B892051">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1578" w:type="pct"/>
            <w:tcBorders>
              <w:top w:val="single" w:color="auto" w:sz="4" w:space="0"/>
              <w:left w:val="single" w:color="auto" w:sz="4" w:space="0"/>
              <w:bottom w:val="single" w:color="auto" w:sz="4" w:space="0"/>
              <w:right w:val="single" w:color="auto" w:sz="4" w:space="0"/>
            </w:tcBorders>
            <w:noWrap w:val="0"/>
            <w:vAlign w:val="top"/>
          </w:tcPr>
          <w:p w14:paraId="45C3A99A">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c>
          <w:tcPr>
            <w:tcW w:w="638" w:type="pct"/>
            <w:tcBorders>
              <w:top w:val="single" w:color="auto" w:sz="4" w:space="0"/>
              <w:left w:val="single" w:color="auto" w:sz="4" w:space="0"/>
              <w:bottom w:val="single" w:color="auto" w:sz="4" w:space="0"/>
              <w:right w:val="single" w:color="auto" w:sz="4" w:space="0"/>
            </w:tcBorders>
            <w:noWrap w:val="0"/>
            <w:vAlign w:val="top"/>
          </w:tcPr>
          <w:p w14:paraId="704BAA03">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p w14:paraId="7CCAD240">
            <w:pPr>
              <w:keepNext w:val="0"/>
              <w:keepLines w:val="0"/>
              <w:pageBreakBefore w:val="0"/>
              <w:widowControl w:val="0"/>
              <w:suppressLineNumbers w:val="0"/>
              <w:tabs>
                <w:tab w:val="left" w:pos="9765"/>
              </w:tabs>
              <w:kinsoku/>
              <w:wordWrap/>
              <w:overflowPunct/>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w:t>
            </w:r>
          </w:p>
        </w:tc>
      </w:tr>
    </w:tbl>
    <w:p w14:paraId="5F12E32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C2A27FF">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附件2：项目价格及合同价格表</w:t>
      </w:r>
    </w:p>
    <w:p w14:paraId="251241BE">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项目价格及合同价格表</w:t>
      </w:r>
    </w:p>
    <w:p w14:paraId="0493EBA2">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360" w:lineRule="auto"/>
        <w:ind w:left="0" w:right="0"/>
        <w:jc w:val="left"/>
        <w:textAlignment w:val="auto"/>
        <w:outlineLvl w:val="9"/>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项目编号：                        项目名称：</w:t>
      </w:r>
    </w:p>
    <w:tbl>
      <w:tblPr>
        <w:tblStyle w:val="18"/>
        <w:tblW w:w="10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454"/>
        <w:gridCol w:w="1193"/>
        <w:gridCol w:w="1119"/>
        <w:gridCol w:w="1169"/>
        <w:gridCol w:w="962"/>
        <w:gridCol w:w="975"/>
        <w:gridCol w:w="2738"/>
      </w:tblGrid>
      <w:tr w14:paraId="175B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73FCE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1454" w:type="dxa"/>
            <w:noWrap w:val="0"/>
            <w:vAlign w:val="center"/>
          </w:tcPr>
          <w:p w14:paraId="56D07E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lang w:val="en-US" w:eastAsia="zh-CN"/>
              </w:rPr>
              <w:t>岗位</w:t>
            </w:r>
            <w:r>
              <w:rPr>
                <w:rFonts w:hint="eastAsia" w:ascii="宋体" w:hAnsi="宋体" w:eastAsia="宋体" w:cs="宋体"/>
                <w:b/>
                <w:bCs/>
                <w:color w:val="auto"/>
                <w:sz w:val="18"/>
                <w:szCs w:val="18"/>
                <w:highlight w:val="none"/>
              </w:rPr>
              <w:t>名称</w:t>
            </w:r>
          </w:p>
        </w:tc>
        <w:tc>
          <w:tcPr>
            <w:tcW w:w="1193" w:type="dxa"/>
            <w:noWrap w:val="0"/>
            <w:vAlign w:val="center"/>
          </w:tcPr>
          <w:p w14:paraId="750DDF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服务范围</w:t>
            </w:r>
          </w:p>
        </w:tc>
        <w:tc>
          <w:tcPr>
            <w:tcW w:w="1119" w:type="dxa"/>
            <w:noWrap w:val="0"/>
            <w:vAlign w:val="center"/>
          </w:tcPr>
          <w:p w14:paraId="57938C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服务要求</w:t>
            </w:r>
          </w:p>
        </w:tc>
        <w:tc>
          <w:tcPr>
            <w:tcW w:w="1169" w:type="dxa"/>
            <w:noWrap w:val="0"/>
            <w:vAlign w:val="center"/>
          </w:tcPr>
          <w:p w14:paraId="33D9F2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服务标准</w:t>
            </w:r>
          </w:p>
        </w:tc>
        <w:tc>
          <w:tcPr>
            <w:tcW w:w="962" w:type="dxa"/>
            <w:noWrap w:val="0"/>
            <w:vAlign w:val="center"/>
          </w:tcPr>
          <w:p w14:paraId="7B86DE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rPr>
              <w:t>服务</w:t>
            </w:r>
            <w:r>
              <w:rPr>
                <w:rFonts w:hint="eastAsia" w:ascii="宋体" w:hAnsi="宋体" w:eastAsia="宋体" w:cs="宋体"/>
                <w:b/>
                <w:bCs/>
                <w:color w:val="auto"/>
                <w:sz w:val="18"/>
                <w:szCs w:val="18"/>
                <w:highlight w:val="none"/>
                <w:lang w:val="en-US" w:eastAsia="zh-CN"/>
              </w:rPr>
              <w:t>时间</w:t>
            </w:r>
          </w:p>
          <w:p w14:paraId="7C56D3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（月）</w:t>
            </w:r>
          </w:p>
        </w:tc>
        <w:tc>
          <w:tcPr>
            <w:tcW w:w="975" w:type="dxa"/>
            <w:noWrap w:val="0"/>
            <w:vAlign w:val="center"/>
          </w:tcPr>
          <w:p w14:paraId="16881B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服务人数</w:t>
            </w:r>
          </w:p>
          <w:p w14:paraId="55583F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eastAsia="zh-CN"/>
              </w:rPr>
            </w:pP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人</w:t>
            </w:r>
            <w:r>
              <w:rPr>
                <w:rFonts w:hint="eastAsia" w:ascii="宋体" w:hAnsi="宋体" w:eastAsia="宋体" w:cs="宋体"/>
                <w:b/>
                <w:bCs/>
                <w:color w:val="auto"/>
                <w:sz w:val="18"/>
                <w:szCs w:val="18"/>
                <w:highlight w:val="none"/>
                <w:lang w:eastAsia="zh-CN"/>
              </w:rPr>
              <w:t>）</w:t>
            </w:r>
          </w:p>
        </w:tc>
        <w:tc>
          <w:tcPr>
            <w:tcW w:w="2738" w:type="dxa"/>
            <w:noWrap w:val="0"/>
            <w:vAlign w:val="center"/>
          </w:tcPr>
          <w:p w14:paraId="6F4CDD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备注</w:t>
            </w:r>
          </w:p>
        </w:tc>
      </w:tr>
      <w:tr w14:paraId="258E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24C31B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454" w:type="dxa"/>
            <w:noWrap w:val="0"/>
            <w:vAlign w:val="center"/>
          </w:tcPr>
          <w:p w14:paraId="41AC16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项目负责人</w:t>
            </w:r>
          </w:p>
          <w:p w14:paraId="5F60A8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val="en-US" w:eastAsia="zh-CN"/>
              </w:rPr>
              <w:t>（兼食品安全总监）</w:t>
            </w:r>
          </w:p>
        </w:tc>
        <w:tc>
          <w:tcPr>
            <w:tcW w:w="1193" w:type="dxa"/>
            <w:noWrap w:val="0"/>
            <w:vAlign w:val="center"/>
          </w:tcPr>
          <w:p w14:paraId="70A010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5A90E7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365113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190552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73996D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restart"/>
            <w:noWrap w:val="0"/>
            <w:vAlign w:val="center"/>
          </w:tcPr>
          <w:p w14:paraId="0D08F7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包括但不限于招标文件及其基本技术要求范围内相应项目前的准备（包括现场踏勘等）、项目服务、人员费用[包括但不限于工资薪金、劳务报酬、离职补偿金、管理费、培训费、加班费（包括全年法定假日、双休日及职工带薪年假加班费）、岗位补贴、高温补贴、员工福利、社会保险、公积金、商业保险、工会费等]、自有设备设施（含工器具、消耗品、服装、劳保用品）、维护修理、折旧、办公设备、</w:t>
            </w:r>
            <w:r>
              <w:rPr>
                <w:rFonts w:hint="eastAsia" w:ascii="宋体" w:hAnsi="宋体" w:cs="宋体"/>
                <w:color w:val="auto"/>
                <w:sz w:val="18"/>
                <w:szCs w:val="18"/>
                <w:highlight w:val="none"/>
                <w:lang w:eastAsia="zh-CN"/>
              </w:rPr>
              <w:t>通讯、检验检测、</w:t>
            </w:r>
            <w:r>
              <w:rPr>
                <w:rFonts w:hint="eastAsia" w:ascii="宋体" w:hAnsi="宋体" w:eastAsia="宋体" w:cs="宋体"/>
                <w:color w:val="auto"/>
                <w:sz w:val="18"/>
                <w:szCs w:val="18"/>
                <w:highlight w:val="none"/>
              </w:rPr>
              <w:t>管理、质保、利润、各种税费、市场价格波动风险因素、政策性文件规定及项目明示或暗示的所有风险、责任、义务等各项应有的费用；上述未列明，但</w:t>
            </w:r>
            <w:r>
              <w:rPr>
                <w:rFonts w:hint="eastAsia" w:ascii="宋体" w:hAnsi="宋体" w:cs="宋体"/>
                <w:color w:val="auto"/>
                <w:sz w:val="18"/>
                <w:szCs w:val="18"/>
                <w:highlight w:val="none"/>
                <w:lang w:val="en-US" w:eastAsia="zh-CN"/>
              </w:rPr>
              <w:t>乙方</w:t>
            </w:r>
            <w:r>
              <w:rPr>
                <w:rFonts w:hint="eastAsia" w:ascii="宋体" w:hAnsi="宋体" w:eastAsia="宋体" w:cs="宋体"/>
                <w:color w:val="auto"/>
                <w:sz w:val="18"/>
                <w:szCs w:val="18"/>
                <w:highlight w:val="none"/>
              </w:rPr>
              <w:t>认为所需的其他费用也包含在内，</w:t>
            </w:r>
            <w:r>
              <w:rPr>
                <w:rFonts w:hint="eastAsia" w:ascii="宋体" w:hAnsi="宋体" w:cs="宋体"/>
                <w:color w:val="auto"/>
                <w:sz w:val="18"/>
                <w:szCs w:val="18"/>
                <w:highlight w:val="none"/>
                <w:lang w:val="en-US" w:eastAsia="zh-CN"/>
              </w:rPr>
              <w:t>甲方</w:t>
            </w:r>
            <w:r>
              <w:rPr>
                <w:rFonts w:hint="eastAsia" w:ascii="宋体" w:hAnsi="宋体" w:eastAsia="宋体" w:cs="宋体"/>
                <w:color w:val="auto"/>
                <w:sz w:val="18"/>
                <w:szCs w:val="18"/>
                <w:highlight w:val="none"/>
              </w:rPr>
              <w:t>不接受</w:t>
            </w:r>
            <w:r>
              <w:rPr>
                <w:rFonts w:hint="eastAsia" w:ascii="宋体" w:hAnsi="宋体" w:cs="宋体"/>
                <w:color w:val="auto"/>
                <w:sz w:val="18"/>
                <w:szCs w:val="18"/>
                <w:highlight w:val="none"/>
                <w:lang w:val="en-US" w:eastAsia="zh-CN"/>
              </w:rPr>
              <w:t>乙方</w:t>
            </w:r>
            <w:r>
              <w:rPr>
                <w:rFonts w:hint="eastAsia" w:ascii="宋体" w:hAnsi="宋体" w:eastAsia="宋体" w:cs="宋体"/>
                <w:color w:val="auto"/>
                <w:sz w:val="18"/>
                <w:szCs w:val="18"/>
                <w:highlight w:val="none"/>
              </w:rPr>
              <w:t>任何因遗漏报价而发生的费用追加和调整，</w:t>
            </w:r>
            <w:r>
              <w:rPr>
                <w:rFonts w:hint="eastAsia" w:ascii="宋体" w:hAnsi="宋体" w:cs="宋体"/>
                <w:color w:val="auto"/>
                <w:sz w:val="18"/>
                <w:szCs w:val="18"/>
                <w:highlight w:val="none"/>
                <w:lang w:val="en-US" w:eastAsia="zh-CN"/>
              </w:rPr>
              <w:t>甲方</w:t>
            </w:r>
            <w:r>
              <w:rPr>
                <w:rFonts w:hint="eastAsia" w:ascii="宋体" w:hAnsi="宋体" w:eastAsia="宋体" w:cs="宋体"/>
                <w:color w:val="auto"/>
                <w:sz w:val="18"/>
                <w:szCs w:val="18"/>
                <w:highlight w:val="none"/>
              </w:rPr>
              <w:t>不再向</w:t>
            </w:r>
            <w:r>
              <w:rPr>
                <w:rFonts w:hint="eastAsia" w:ascii="宋体" w:hAnsi="宋体" w:cs="宋体"/>
                <w:color w:val="auto"/>
                <w:sz w:val="18"/>
                <w:szCs w:val="18"/>
                <w:highlight w:val="none"/>
                <w:lang w:val="en-US" w:eastAsia="zh-CN"/>
              </w:rPr>
              <w:t>乙方</w:t>
            </w:r>
            <w:r>
              <w:rPr>
                <w:rFonts w:hint="eastAsia" w:ascii="宋体" w:hAnsi="宋体" w:eastAsia="宋体" w:cs="宋体"/>
                <w:color w:val="auto"/>
                <w:sz w:val="18"/>
                <w:szCs w:val="18"/>
                <w:highlight w:val="none"/>
              </w:rPr>
              <w:t>支付其他额外任何费用。同时，除非合同条款中另有规定，否则，</w:t>
            </w:r>
            <w:r>
              <w:rPr>
                <w:rFonts w:hint="eastAsia" w:ascii="宋体" w:hAnsi="宋体" w:cs="宋体"/>
                <w:color w:val="auto"/>
                <w:sz w:val="18"/>
                <w:szCs w:val="18"/>
                <w:highlight w:val="none"/>
                <w:lang w:val="en-US" w:eastAsia="zh-CN"/>
              </w:rPr>
              <w:t>乙方</w:t>
            </w:r>
            <w:r>
              <w:rPr>
                <w:rFonts w:hint="eastAsia" w:ascii="宋体" w:hAnsi="宋体" w:eastAsia="宋体" w:cs="宋体"/>
                <w:color w:val="auto"/>
                <w:sz w:val="18"/>
                <w:szCs w:val="18"/>
                <w:highlight w:val="none"/>
              </w:rPr>
              <w:t>所报价格在项目投标、合同实施期间不因市场变化等因素而变动。</w:t>
            </w:r>
          </w:p>
          <w:p w14:paraId="71448F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合同期内若涉及本地区最低工资、社保缴费基数、住房公积金基数等上调，</w:t>
            </w:r>
            <w:r>
              <w:rPr>
                <w:rFonts w:hint="eastAsia" w:ascii="宋体" w:hAnsi="宋体" w:cs="宋体"/>
                <w:color w:val="auto"/>
                <w:sz w:val="18"/>
                <w:szCs w:val="18"/>
                <w:highlight w:val="none"/>
                <w:lang w:val="en-US" w:eastAsia="zh-CN"/>
              </w:rPr>
              <w:t>乙方</w:t>
            </w:r>
            <w:r>
              <w:rPr>
                <w:rFonts w:hint="eastAsia" w:ascii="宋体" w:hAnsi="宋体" w:eastAsia="宋体" w:cs="宋体"/>
                <w:color w:val="auto"/>
                <w:sz w:val="18"/>
                <w:szCs w:val="18"/>
                <w:highlight w:val="none"/>
              </w:rPr>
              <w:t>应按政策要求保障人员相关法定待遇，涉及到工资差额、固定岗位工资差额、假日工资差额、社保差额部分、住房公积金差额等均由</w:t>
            </w:r>
            <w:r>
              <w:rPr>
                <w:rFonts w:hint="eastAsia" w:ascii="宋体" w:hAnsi="宋体" w:cs="宋体"/>
                <w:color w:val="auto"/>
                <w:sz w:val="18"/>
                <w:szCs w:val="18"/>
                <w:highlight w:val="none"/>
                <w:lang w:val="en-US" w:eastAsia="zh-CN"/>
              </w:rPr>
              <w:t>乙方</w:t>
            </w:r>
            <w:r>
              <w:rPr>
                <w:rFonts w:hint="eastAsia" w:ascii="宋体" w:hAnsi="宋体" w:eastAsia="宋体" w:cs="宋体"/>
                <w:color w:val="auto"/>
                <w:sz w:val="18"/>
                <w:szCs w:val="18"/>
                <w:highlight w:val="none"/>
              </w:rPr>
              <w:t>承担。</w:t>
            </w:r>
          </w:p>
        </w:tc>
      </w:tr>
      <w:tr w14:paraId="1AC9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7CC419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454" w:type="dxa"/>
            <w:noWrap w:val="0"/>
            <w:vAlign w:val="center"/>
          </w:tcPr>
          <w:p w14:paraId="61AE00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厨师长</w:t>
            </w:r>
          </w:p>
        </w:tc>
        <w:tc>
          <w:tcPr>
            <w:tcW w:w="1193" w:type="dxa"/>
            <w:noWrap w:val="0"/>
            <w:vAlign w:val="center"/>
          </w:tcPr>
          <w:p w14:paraId="15DE98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011C5A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756E72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5541C6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1CF888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225813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1D14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3B785C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454" w:type="dxa"/>
            <w:noWrap w:val="0"/>
            <w:vAlign w:val="center"/>
          </w:tcPr>
          <w:p w14:paraId="4C6CFF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厨师</w:t>
            </w:r>
          </w:p>
        </w:tc>
        <w:tc>
          <w:tcPr>
            <w:tcW w:w="1193" w:type="dxa"/>
            <w:noWrap w:val="0"/>
            <w:vAlign w:val="center"/>
          </w:tcPr>
          <w:p w14:paraId="2AFA7D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3DE21B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39DD93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41C8B1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11AD1E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7A7CBC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7BBB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323421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454" w:type="dxa"/>
            <w:noWrap w:val="0"/>
            <w:vAlign w:val="center"/>
          </w:tcPr>
          <w:p w14:paraId="57444E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点心师</w:t>
            </w:r>
          </w:p>
        </w:tc>
        <w:tc>
          <w:tcPr>
            <w:tcW w:w="1193" w:type="dxa"/>
            <w:noWrap w:val="0"/>
            <w:vAlign w:val="center"/>
          </w:tcPr>
          <w:p w14:paraId="77D1B8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7ADC04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4FE911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092904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0DDC9D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48FBA3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25F5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466255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454" w:type="dxa"/>
            <w:noWrap w:val="0"/>
            <w:vAlign w:val="center"/>
          </w:tcPr>
          <w:p w14:paraId="108DE2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点心辅助工</w:t>
            </w:r>
          </w:p>
        </w:tc>
        <w:tc>
          <w:tcPr>
            <w:tcW w:w="1193" w:type="dxa"/>
            <w:noWrap w:val="0"/>
            <w:vAlign w:val="center"/>
          </w:tcPr>
          <w:p w14:paraId="2CFFD1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1A8811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162F5D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584F26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19F6FB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7D72BA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7F87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03416E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454" w:type="dxa"/>
            <w:noWrap w:val="0"/>
            <w:vAlign w:val="center"/>
          </w:tcPr>
          <w:p w14:paraId="2CF292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面档工</w:t>
            </w:r>
          </w:p>
        </w:tc>
        <w:tc>
          <w:tcPr>
            <w:tcW w:w="1193" w:type="dxa"/>
            <w:noWrap w:val="0"/>
            <w:vAlign w:val="center"/>
          </w:tcPr>
          <w:p w14:paraId="6CE64E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53E8EE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7B2C64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6C1029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2BE710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631AEF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62B8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105987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1454" w:type="dxa"/>
            <w:noWrap w:val="0"/>
            <w:vAlign w:val="center"/>
          </w:tcPr>
          <w:p w14:paraId="0AC231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拣洗切配员</w:t>
            </w:r>
          </w:p>
        </w:tc>
        <w:tc>
          <w:tcPr>
            <w:tcW w:w="1193" w:type="dxa"/>
            <w:noWrap w:val="0"/>
            <w:vAlign w:val="center"/>
          </w:tcPr>
          <w:p w14:paraId="72A59C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57B81B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4C78BA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68F6B8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0DF811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25EB2B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046C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4FC3E0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1454" w:type="dxa"/>
            <w:noWrap w:val="0"/>
            <w:vAlign w:val="center"/>
          </w:tcPr>
          <w:p w14:paraId="265D29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服务员</w:t>
            </w:r>
          </w:p>
        </w:tc>
        <w:tc>
          <w:tcPr>
            <w:tcW w:w="1193" w:type="dxa"/>
            <w:noWrap w:val="0"/>
            <w:vAlign w:val="center"/>
          </w:tcPr>
          <w:p w14:paraId="570262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2CA0E8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3BD16F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381790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1AC154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0396EA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5E14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5FB3F8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w:t>
            </w:r>
          </w:p>
        </w:tc>
        <w:tc>
          <w:tcPr>
            <w:tcW w:w="1454" w:type="dxa"/>
            <w:noWrap w:val="0"/>
            <w:vAlign w:val="center"/>
          </w:tcPr>
          <w:p w14:paraId="3CEDEC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洗碗保洁员</w:t>
            </w:r>
          </w:p>
        </w:tc>
        <w:tc>
          <w:tcPr>
            <w:tcW w:w="1193" w:type="dxa"/>
            <w:noWrap w:val="0"/>
            <w:vAlign w:val="center"/>
          </w:tcPr>
          <w:p w14:paraId="6026D1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03C67A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14C2DB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010E07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3F2F59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439DC4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2486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6E5D7C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1454" w:type="dxa"/>
            <w:noWrap w:val="0"/>
            <w:vAlign w:val="center"/>
          </w:tcPr>
          <w:p w14:paraId="0DFF5A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cs="宋体"/>
                <w:color w:val="auto"/>
                <w:kern w:val="0"/>
                <w:sz w:val="18"/>
                <w:szCs w:val="18"/>
                <w:highlight w:val="none"/>
                <w:lang w:val="en-US" w:eastAsia="zh-CN"/>
              </w:rPr>
              <w:t>食堂安全管理员</w:t>
            </w:r>
          </w:p>
        </w:tc>
        <w:tc>
          <w:tcPr>
            <w:tcW w:w="1193" w:type="dxa"/>
            <w:noWrap w:val="0"/>
            <w:vAlign w:val="center"/>
          </w:tcPr>
          <w:p w14:paraId="4335E2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678A9A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79F990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962" w:type="dxa"/>
            <w:noWrap w:val="0"/>
            <w:vAlign w:val="center"/>
          </w:tcPr>
          <w:p w14:paraId="7A7DF5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975" w:type="dxa"/>
            <w:noWrap w:val="0"/>
            <w:vAlign w:val="center"/>
          </w:tcPr>
          <w:p w14:paraId="31F301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2738" w:type="dxa"/>
            <w:vMerge w:val="continue"/>
            <w:noWrap w:val="0"/>
            <w:vAlign w:val="center"/>
          </w:tcPr>
          <w:p w14:paraId="7941C6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42F5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vMerge w:val="restart"/>
            <w:noWrap w:val="0"/>
            <w:vAlign w:val="center"/>
          </w:tcPr>
          <w:p w14:paraId="2AEF35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投标</w:t>
            </w:r>
          </w:p>
          <w:p w14:paraId="554DAC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报价</w:t>
            </w:r>
          </w:p>
        </w:tc>
        <w:tc>
          <w:tcPr>
            <w:tcW w:w="1454" w:type="dxa"/>
            <w:vMerge w:val="restart"/>
            <w:noWrap w:val="0"/>
            <w:vAlign w:val="center"/>
          </w:tcPr>
          <w:p w14:paraId="3199C4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三年度</w:t>
            </w:r>
          </w:p>
          <w:p w14:paraId="54BAC4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总报价</w:t>
            </w:r>
          </w:p>
          <w:p w14:paraId="59E4FD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（项目价格）</w:t>
            </w:r>
          </w:p>
        </w:tc>
        <w:tc>
          <w:tcPr>
            <w:tcW w:w="1193" w:type="dxa"/>
            <w:noWrap w:val="0"/>
            <w:vAlign w:val="center"/>
          </w:tcPr>
          <w:p w14:paraId="7C9EC1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金额大写</w:t>
            </w:r>
          </w:p>
        </w:tc>
        <w:tc>
          <w:tcPr>
            <w:tcW w:w="6963" w:type="dxa"/>
            <w:gridSpan w:val="5"/>
            <w:noWrap w:val="0"/>
            <w:vAlign w:val="center"/>
          </w:tcPr>
          <w:p w14:paraId="722DF3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人民币                                                               /三年</w:t>
            </w:r>
          </w:p>
        </w:tc>
      </w:tr>
      <w:tr w14:paraId="4725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vMerge w:val="continue"/>
            <w:noWrap w:val="0"/>
            <w:vAlign w:val="center"/>
          </w:tcPr>
          <w:p w14:paraId="74DEA0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454" w:type="dxa"/>
            <w:vMerge w:val="continue"/>
            <w:noWrap w:val="0"/>
            <w:vAlign w:val="center"/>
          </w:tcPr>
          <w:p w14:paraId="2F26F4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193" w:type="dxa"/>
            <w:noWrap w:val="0"/>
            <w:vAlign w:val="center"/>
          </w:tcPr>
          <w:p w14:paraId="7CE7B4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金额小写</w:t>
            </w:r>
          </w:p>
        </w:tc>
        <w:tc>
          <w:tcPr>
            <w:tcW w:w="6963" w:type="dxa"/>
            <w:gridSpan w:val="5"/>
            <w:noWrap w:val="0"/>
            <w:vAlign w:val="center"/>
          </w:tcPr>
          <w:p w14:paraId="5F4139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                                                                    /3年</w:t>
            </w:r>
          </w:p>
        </w:tc>
      </w:tr>
      <w:tr w14:paraId="761E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vMerge w:val="continue"/>
            <w:noWrap w:val="0"/>
            <w:vAlign w:val="center"/>
          </w:tcPr>
          <w:p w14:paraId="7E1A7F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454" w:type="dxa"/>
            <w:vMerge w:val="restart"/>
            <w:noWrap w:val="0"/>
            <w:vAlign w:val="center"/>
          </w:tcPr>
          <w:p w14:paraId="3C8D08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单年度</w:t>
            </w:r>
          </w:p>
          <w:p w14:paraId="277CEF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报价</w:t>
            </w:r>
          </w:p>
          <w:p w14:paraId="2DBD6D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（合同价格）</w:t>
            </w:r>
          </w:p>
        </w:tc>
        <w:tc>
          <w:tcPr>
            <w:tcW w:w="1193" w:type="dxa"/>
            <w:noWrap w:val="0"/>
            <w:vAlign w:val="center"/>
          </w:tcPr>
          <w:p w14:paraId="286223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金额大写</w:t>
            </w:r>
          </w:p>
        </w:tc>
        <w:tc>
          <w:tcPr>
            <w:tcW w:w="6963" w:type="dxa"/>
            <w:gridSpan w:val="5"/>
            <w:noWrap w:val="0"/>
            <w:vAlign w:val="center"/>
          </w:tcPr>
          <w:p w14:paraId="05B472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人民币                                                               /年</w:t>
            </w:r>
          </w:p>
        </w:tc>
      </w:tr>
      <w:tr w14:paraId="75B2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vMerge w:val="continue"/>
            <w:noWrap w:val="0"/>
            <w:vAlign w:val="center"/>
          </w:tcPr>
          <w:p w14:paraId="649767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454" w:type="dxa"/>
            <w:vMerge w:val="continue"/>
            <w:noWrap w:val="0"/>
            <w:vAlign w:val="center"/>
          </w:tcPr>
          <w:p w14:paraId="2BDE36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193" w:type="dxa"/>
            <w:noWrap w:val="0"/>
            <w:vAlign w:val="center"/>
          </w:tcPr>
          <w:p w14:paraId="14C882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金额小写</w:t>
            </w:r>
          </w:p>
        </w:tc>
        <w:tc>
          <w:tcPr>
            <w:tcW w:w="6963" w:type="dxa"/>
            <w:gridSpan w:val="5"/>
            <w:noWrap w:val="0"/>
            <w:vAlign w:val="center"/>
          </w:tcPr>
          <w:p w14:paraId="3D05DB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                                                                    /年</w:t>
            </w:r>
          </w:p>
        </w:tc>
      </w:tr>
    </w:tbl>
    <w:p w14:paraId="67728C5E">
      <w:pPr>
        <w:rPr>
          <w:rFonts w:hint="eastAsia" w:ascii="宋体" w:hAnsi="宋体" w:eastAsia="宋体" w:cs="宋体"/>
          <w:color w:val="auto"/>
          <w:sz w:val="21"/>
          <w:szCs w:val="21"/>
          <w:highlight w:val="none"/>
        </w:rPr>
      </w:pPr>
    </w:p>
    <w:p w14:paraId="73E5899E">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0744C8F6">
      <w:pPr>
        <w:pStyle w:val="8"/>
        <w:keepNext w:val="0"/>
        <w:keepLines w:val="0"/>
        <w:pageBreakBefore w:val="0"/>
        <w:widowControl w:val="0"/>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附件3：常州市钟楼区行政中心机关食堂餐饮服务及管理项目考核评分标准</w:t>
      </w:r>
    </w:p>
    <w:p w14:paraId="270F1259">
      <w:pPr>
        <w:pStyle w:val="8"/>
        <w:keepNext w:val="0"/>
        <w:keepLines w:val="0"/>
        <w:pageBreakBefore w:val="0"/>
        <w:widowControl w:val="0"/>
        <w:kinsoku/>
        <w:wordWrap/>
        <w:overflowPunct/>
        <w:topLinePunct/>
        <w:autoSpaceDE/>
        <w:autoSpaceDN/>
        <w:bidi w:val="0"/>
        <w:adjustRightInd w:val="0"/>
        <w:snapToGrid w:val="0"/>
        <w:spacing w:before="0" w:line="360" w:lineRule="auto"/>
        <w:jc w:val="center"/>
        <w:textAlignment w:val="auto"/>
        <w:outlineLvl w:val="9"/>
        <w:rPr>
          <w:rFonts w:hint="eastAsia"/>
          <w:b/>
          <w:sz w:val="21"/>
          <w:szCs w:val="21"/>
          <w:highlight w:val="none"/>
        </w:rPr>
      </w:pPr>
      <w:r>
        <w:rPr>
          <w:rFonts w:hint="eastAsia"/>
          <w:b/>
          <w:sz w:val="21"/>
          <w:szCs w:val="21"/>
          <w:highlight w:val="none"/>
        </w:rPr>
        <w:t>常州市钟楼区行政中心机关食堂餐饮服务及管理项目考核评分标准</w:t>
      </w:r>
    </w:p>
    <w:p w14:paraId="51B492C4">
      <w:pPr>
        <w:adjustRightInd w:val="0"/>
        <w:snapToGrid w:val="0"/>
        <w:spacing w:line="360" w:lineRule="auto"/>
        <w:ind w:firstLine="420" w:firstLineChars="200"/>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rPr>
        <w:t>考核区域：                                   考核部门：</w:t>
      </w:r>
    </w:p>
    <w:p w14:paraId="660D9D31">
      <w:pPr>
        <w:adjustRightInd w:val="0"/>
        <w:snapToGrid w:val="0"/>
        <w:spacing w:line="360" w:lineRule="auto"/>
        <w:ind w:firstLine="420" w:firstLineChars="200"/>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rPr>
        <w:t>服务单位：                                   考核人员：</w:t>
      </w:r>
    </w:p>
    <w:p w14:paraId="1A5FD487">
      <w:pPr>
        <w:adjustRightInd w:val="0"/>
        <w:snapToGrid w:val="0"/>
        <w:spacing w:line="360" w:lineRule="auto"/>
        <w:ind w:firstLine="420" w:firstLineChars="200"/>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rPr>
        <w:t>考核种类：</w:t>
      </w:r>
      <w:r>
        <w:rPr>
          <w:rFonts w:hint="eastAsia" w:ascii="宋体" w:hAnsi="宋体" w:cs="宋体"/>
          <w:b w:val="0"/>
          <w:bCs/>
          <w:color w:val="000000"/>
          <w:kern w:val="0"/>
          <w:sz w:val="21"/>
          <w:szCs w:val="21"/>
          <w:highlight w:val="none"/>
        </w:rPr>
        <w:t>月考核</w:t>
      </w:r>
      <w:r>
        <w:rPr>
          <w:rFonts w:hint="eastAsia" w:ascii="宋体" w:hAnsi="宋体" w:cs="宋体"/>
          <w:bCs/>
          <w:color w:val="000000"/>
          <w:kern w:val="0"/>
          <w:sz w:val="21"/>
          <w:szCs w:val="21"/>
          <w:highlight w:val="none"/>
        </w:rPr>
        <w:t xml:space="preserve">                 </w:t>
      </w:r>
      <w:r>
        <w:rPr>
          <w:rFonts w:hint="eastAsia" w:ascii="宋体" w:hAnsi="宋体" w:cs="宋体"/>
          <w:bCs/>
          <w:color w:val="000000"/>
          <w:kern w:val="0"/>
          <w:sz w:val="21"/>
          <w:szCs w:val="21"/>
          <w:highlight w:val="none"/>
          <w:lang w:val="en-US" w:eastAsia="zh-CN"/>
        </w:rPr>
        <w:t xml:space="preserve">            </w:t>
      </w:r>
      <w:r>
        <w:rPr>
          <w:rFonts w:hint="eastAsia" w:ascii="宋体" w:hAnsi="宋体" w:cs="宋体"/>
          <w:bCs/>
          <w:color w:val="000000"/>
          <w:kern w:val="0"/>
          <w:sz w:val="21"/>
          <w:szCs w:val="21"/>
          <w:highlight w:val="none"/>
        </w:rPr>
        <w:t>考核日期：</w:t>
      </w:r>
    </w:p>
    <w:tbl>
      <w:tblPr>
        <w:tblStyle w:val="18"/>
        <w:tblW w:w="54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0"/>
        <w:gridCol w:w="2319"/>
        <w:gridCol w:w="558"/>
        <w:gridCol w:w="5660"/>
        <w:gridCol w:w="746"/>
      </w:tblGrid>
      <w:tr w14:paraId="0288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0B6B6B1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序号</w:t>
            </w:r>
          </w:p>
        </w:tc>
        <w:tc>
          <w:tcPr>
            <w:tcW w:w="1172" w:type="pct"/>
            <w:noWrap w:val="0"/>
            <w:vAlign w:val="center"/>
          </w:tcPr>
          <w:p w14:paraId="2730C0C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考核内容</w:t>
            </w:r>
          </w:p>
        </w:tc>
        <w:tc>
          <w:tcPr>
            <w:tcW w:w="282" w:type="pct"/>
            <w:noWrap w:val="0"/>
            <w:vAlign w:val="center"/>
          </w:tcPr>
          <w:p w14:paraId="1A7DBD3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分值</w:t>
            </w:r>
          </w:p>
        </w:tc>
        <w:tc>
          <w:tcPr>
            <w:tcW w:w="2858" w:type="pct"/>
            <w:noWrap w:val="0"/>
            <w:vAlign w:val="center"/>
          </w:tcPr>
          <w:p w14:paraId="14D1EA3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评分</w:t>
            </w:r>
            <w:r>
              <w:rPr>
                <w:rFonts w:hint="eastAsia" w:ascii="宋体" w:hAnsi="宋体" w:eastAsia="宋体" w:cs="宋体"/>
                <w:b/>
                <w:bCs/>
                <w:spacing w:val="4"/>
                <w:sz w:val="18"/>
                <w:szCs w:val="18"/>
                <w:highlight w:val="none"/>
                <w:lang w:eastAsia="zh-CN"/>
              </w:rPr>
              <w:t>标准</w:t>
            </w:r>
          </w:p>
        </w:tc>
        <w:tc>
          <w:tcPr>
            <w:tcW w:w="377" w:type="pct"/>
            <w:vMerge w:val="restart"/>
            <w:noWrap w:val="0"/>
            <w:vAlign w:val="center"/>
          </w:tcPr>
          <w:p w14:paraId="2905BC7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扣分值</w:t>
            </w:r>
          </w:p>
        </w:tc>
      </w:tr>
      <w:tr w14:paraId="6BCC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6CB146F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一</w:t>
            </w:r>
          </w:p>
        </w:tc>
        <w:tc>
          <w:tcPr>
            <w:tcW w:w="1172" w:type="pct"/>
            <w:noWrap w:val="0"/>
            <w:vAlign w:val="center"/>
          </w:tcPr>
          <w:p w14:paraId="1AA4AEB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质量考核</w:t>
            </w:r>
          </w:p>
        </w:tc>
        <w:tc>
          <w:tcPr>
            <w:tcW w:w="282" w:type="pct"/>
            <w:noWrap w:val="0"/>
            <w:vAlign w:val="center"/>
          </w:tcPr>
          <w:p w14:paraId="6888ABE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default" w:ascii="宋体" w:hAnsi="宋体" w:eastAsia="宋体" w:cs="宋体"/>
                <w:b/>
                <w:bCs/>
                <w:spacing w:val="4"/>
                <w:sz w:val="18"/>
                <w:szCs w:val="18"/>
                <w:highlight w:val="none"/>
                <w:lang w:val="en-US" w:eastAsia="zh-CN"/>
              </w:rPr>
            </w:pPr>
            <w:r>
              <w:rPr>
                <w:rFonts w:hint="eastAsia" w:ascii="宋体" w:hAnsi="宋体" w:cs="宋体"/>
                <w:b/>
                <w:bCs/>
                <w:spacing w:val="4"/>
                <w:sz w:val="18"/>
                <w:szCs w:val="18"/>
                <w:highlight w:val="none"/>
                <w:lang w:val="en-US" w:eastAsia="zh-CN"/>
              </w:rPr>
              <w:t>70</w:t>
            </w:r>
          </w:p>
        </w:tc>
        <w:tc>
          <w:tcPr>
            <w:tcW w:w="2858" w:type="pct"/>
            <w:noWrap w:val="0"/>
            <w:vAlign w:val="center"/>
          </w:tcPr>
          <w:p w14:paraId="739452A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lang w:eastAsia="zh-CN"/>
              </w:rPr>
            </w:pPr>
          </w:p>
        </w:tc>
        <w:tc>
          <w:tcPr>
            <w:tcW w:w="377" w:type="pct"/>
            <w:vMerge w:val="continue"/>
            <w:noWrap w:val="0"/>
            <w:vAlign w:val="center"/>
          </w:tcPr>
          <w:p w14:paraId="2537D86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lang w:eastAsia="zh-CN"/>
              </w:rPr>
            </w:pPr>
          </w:p>
        </w:tc>
      </w:tr>
      <w:tr w14:paraId="5771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4EE4BD3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(一)</w:t>
            </w:r>
          </w:p>
        </w:tc>
        <w:tc>
          <w:tcPr>
            <w:tcW w:w="4313" w:type="pct"/>
            <w:gridSpan w:val="3"/>
            <w:noWrap w:val="0"/>
            <w:vAlign w:val="center"/>
          </w:tcPr>
          <w:p w14:paraId="59B80A2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lang w:eastAsia="zh-CN"/>
              </w:rPr>
            </w:pPr>
            <w:r>
              <w:rPr>
                <w:rFonts w:hint="eastAsia" w:ascii="宋体" w:hAnsi="宋体" w:eastAsia="宋体" w:cs="宋体"/>
                <w:b/>
                <w:bCs/>
                <w:spacing w:val="4"/>
                <w:sz w:val="18"/>
                <w:szCs w:val="18"/>
                <w:highlight w:val="none"/>
              </w:rPr>
              <w:t>服务质量</w:t>
            </w:r>
          </w:p>
        </w:tc>
        <w:tc>
          <w:tcPr>
            <w:tcW w:w="377" w:type="pct"/>
            <w:vMerge w:val="continue"/>
            <w:noWrap w:val="0"/>
            <w:vAlign w:val="center"/>
          </w:tcPr>
          <w:p w14:paraId="702D4A1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lang w:eastAsia="zh-CN"/>
              </w:rPr>
            </w:pPr>
          </w:p>
        </w:tc>
      </w:tr>
      <w:tr w14:paraId="2ACA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1987996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1</w:t>
            </w:r>
          </w:p>
        </w:tc>
        <w:tc>
          <w:tcPr>
            <w:tcW w:w="1172" w:type="pct"/>
            <w:noWrap w:val="0"/>
            <w:vAlign w:val="center"/>
          </w:tcPr>
          <w:p w14:paraId="3A8163F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z w:val="18"/>
                <w:szCs w:val="18"/>
                <w:highlight w:val="none"/>
                <w:lang w:eastAsia="zh-CN"/>
              </w:rPr>
            </w:pPr>
            <w:r>
              <w:rPr>
                <w:rFonts w:hint="eastAsia" w:ascii="宋体" w:hAnsi="宋体" w:eastAsia="宋体" w:cs="宋体"/>
                <w:spacing w:val="4"/>
                <w:sz w:val="18"/>
                <w:szCs w:val="18"/>
                <w:highlight w:val="none"/>
                <w:lang w:eastAsia="zh-CN"/>
              </w:rPr>
              <w:t>仪容</w:t>
            </w:r>
            <w:r>
              <w:rPr>
                <w:rFonts w:hint="eastAsia" w:ascii="宋体" w:hAnsi="宋体" w:eastAsia="宋体" w:cs="宋体"/>
                <w:spacing w:val="3"/>
                <w:sz w:val="18"/>
                <w:szCs w:val="18"/>
                <w:highlight w:val="none"/>
                <w:lang w:eastAsia="zh-CN"/>
              </w:rPr>
              <w:t>仪</w:t>
            </w:r>
            <w:r>
              <w:rPr>
                <w:rFonts w:hint="eastAsia" w:ascii="宋体" w:hAnsi="宋体" w:eastAsia="宋体" w:cs="宋体"/>
                <w:spacing w:val="2"/>
                <w:sz w:val="18"/>
                <w:szCs w:val="18"/>
                <w:highlight w:val="none"/>
                <w:lang w:eastAsia="zh-CN"/>
              </w:rPr>
              <w:t>表端庄大方，干净</w:t>
            </w:r>
            <w:r>
              <w:rPr>
                <w:rFonts w:hint="eastAsia" w:ascii="宋体" w:hAnsi="宋体" w:eastAsia="宋体" w:cs="宋体"/>
                <w:spacing w:val="9"/>
                <w:sz w:val="18"/>
                <w:szCs w:val="18"/>
                <w:highlight w:val="none"/>
                <w:lang w:eastAsia="zh-CN"/>
              </w:rPr>
              <w:t>整洁，着装规</w:t>
            </w:r>
            <w:r>
              <w:rPr>
                <w:rFonts w:hint="eastAsia" w:ascii="宋体" w:hAnsi="宋体" w:eastAsia="宋体" w:cs="宋体"/>
                <w:spacing w:val="8"/>
                <w:sz w:val="18"/>
                <w:szCs w:val="18"/>
                <w:highlight w:val="none"/>
                <w:lang w:eastAsia="zh-CN"/>
              </w:rPr>
              <w:t>范</w:t>
            </w:r>
          </w:p>
        </w:tc>
        <w:tc>
          <w:tcPr>
            <w:tcW w:w="282" w:type="pct"/>
            <w:vMerge w:val="restart"/>
            <w:noWrap w:val="0"/>
            <w:vAlign w:val="center"/>
          </w:tcPr>
          <w:p w14:paraId="3606C8C1">
            <w:pPr>
              <w:keepNext w:val="0"/>
              <w:keepLines w:val="0"/>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8</w:t>
            </w:r>
          </w:p>
        </w:tc>
        <w:tc>
          <w:tcPr>
            <w:tcW w:w="2858" w:type="pct"/>
            <w:vMerge w:val="restart"/>
            <w:noWrap w:val="0"/>
            <w:vAlign w:val="center"/>
          </w:tcPr>
          <w:p w14:paraId="76D08F64">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未按标准着装、佩戴工牌，发现1人次扣1分；</w:t>
            </w:r>
          </w:p>
          <w:p w14:paraId="6FE3BA34">
            <w:pPr>
              <w:keepNext w:val="0"/>
              <w:keepLines w:val="0"/>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语言粗俗、不文明，发现1人次扣1分；服务态度不热情、与服务对象发生争吵，发现1人次扣3分</w:t>
            </w:r>
          </w:p>
        </w:tc>
        <w:tc>
          <w:tcPr>
            <w:tcW w:w="377" w:type="pct"/>
            <w:vMerge w:val="restart"/>
            <w:noWrap w:val="0"/>
            <w:vAlign w:val="top"/>
          </w:tcPr>
          <w:p w14:paraId="70BD737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706A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00DA757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pacing w:val="1"/>
                <w:sz w:val="18"/>
                <w:szCs w:val="18"/>
                <w:highlight w:val="none"/>
              </w:rPr>
              <w:t>2</w:t>
            </w:r>
          </w:p>
        </w:tc>
        <w:tc>
          <w:tcPr>
            <w:tcW w:w="1172" w:type="pct"/>
            <w:noWrap w:val="0"/>
            <w:vAlign w:val="center"/>
          </w:tcPr>
          <w:p w14:paraId="79381A93">
            <w:pPr>
              <w:keepNext w:val="0"/>
              <w:keepLines w:val="0"/>
              <w:widowControl/>
              <w:suppressLineNumbers w:val="0"/>
              <w:kinsoku w:val="0"/>
              <w:autoSpaceDE w:val="0"/>
              <w:autoSpaceDN w:val="0"/>
              <w:adjustRightInd w:val="0"/>
              <w:snapToGrid w:val="0"/>
              <w:spacing w:before="0" w:beforeAutospacing="0" w:after="0" w:afterAutospacing="0" w:line="240" w:lineRule="auto"/>
              <w:ind w:left="112" w:leftChars="50" w:right="105" w:rightChars="50" w:hanging="7"/>
              <w:jc w:val="left"/>
              <w:textAlignment w:val="baseline"/>
              <w:rPr>
                <w:rFonts w:hint="eastAsia" w:ascii="宋体" w:hAnsi="宋体" w:eastAsia="宋体" w:cs="宋体"/>
                <w:sz w:val="18"/>
                <w:szCs w:val="18"/>
                <w:highlight w:val="none"/>
                <w:lang w:eastAsia="zh-CN"/>
              </w:rPr>
            </w:pPr>
            <w:r>
              <w:rPr>
                <w:rFonts w:hint="eastAsia" w:ascii="宋体" w:hAnsi="宋体" w:eastAsia="宋体" w:cs="宋体"/>
                <w:spacing w:val="2"/>
                <w:sz w:val="18"/>
                <w:szCs w:val="18"/>
                <w:highlight w:val="none"/>
                <w:lang w:eastAsia="zh-CN"/>
              </w:rPr>
              <w:t>服务热情，耐心细致，</w:t>
            </w:r>
            <w:r>
              <w:rPr>
                <w:rFonts w:hint="eastAsia" w:ascii="宋体" w:hAnsi="宋体" w:eastAsia="宋体" w:cs="宋体"/>
                <w:sz w:val="18"/>
                <w:szCs w:val="18"/>
                <w:highlight w:val="none"/>
                <w:lang w:eastAsia="zh-CN"/>
              </w:rPr>
              <w:t>语</w:t>
            </w:r>
            <w:r>
              <w:rPr>
                <w:rFonts w:hint="eastAsia" w:ascii="宋体" w:hAnsi="宋体" w:eastAsia="宋体" w:cs="宋体"/>
                <w:spacing w:val="13"/>
                <w:sz w:val="18"/>
                <w:szCs w:val="18"/>
                <w:highlight w:val="none"/>
                <w:lang w:eastAsia="zh-CN"/>
              </w:rPr>
              <w:t>言</w:t>
            </w:r>
            <w:r>
              <w:rPr>
                <w:rFonts w:hint="eastAsia" w:ascii="宋体" w:hAnsi="宋体" w:eastAsia="宋体" w:cs="宋体"/>
                <w:spacing w:val="8"/>
                <w:sz w:val="18"/>
                <w:szCs w:val="18"/>
                <w:highlight w:val="none"/>
                <w:lang w:eastAsia="zh-CN"/>
              </w:rPr>
              <w:t>文明，态度亲切友好</w:t>
            </w:r>
          </w:p>
        </w:tc>
        <w:tc>
          <w:tcPr>
            <w:tcW w:w="282" w:type="pct"/>
            <w:vMerge w:val="continue"/>
            <w:noWrap w:val="0"/>
            <w:vAlign w:val="center"/>
          </w:tcPr>
          <w:p w14:paraId="5BA22E36">
            <w:pPr>
              <w:keepNext w:val="0"/>
              <w:keepLines w:val="0"/>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vMerge w:val="continue"/>
            <w:noWrap w:val="0"/>
            <w:vAlign w:val="center"/>
          </w:tcPr>
          <w:p w14:paraId="037F4F2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p>
        </w:tc>
        <w:tc>
          <w:tcPr>
            <w:tcW w:w="377" w:type="pct"/>
            <w:vMerge w:val="continue"/>
            <w:noWrap w:val="0"/>
            <w:vAlign w:val="top"/>
          </w:tcPr>
          <w:p w14:paraId="3070098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2C35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364288C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r>
              <w:rPr>
                <w:rFonts w:hint="eastAsia" w:ascii="宋体" w:hAnsi="宋体" w:eastAsia="宋体" w:cs="宋体"/>
                <w:spacing w:val="2"/>
                <w:sz w:val="18"/>
                <w:szCs w:val="18"/>
                <w:highlight w:val="none"/>
                <w:lang w:eastAsia="zh-CN"/>
              </w:rPr>
              <w:t>3</w:t>
            </w:r>
          </w:p>
        </w:tc>
        <w:tc>
          <w:tcPr>
            <w:tcW w:w="1172" w:type="pct"/>
            <w:noWrap w:val="0"/>
            <w:vAlign w:val="center"/>
          </w:tcPr>
          <w:p w14:paraId="685DE22D">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z w:val="18"/>
                <w:szCs w:val="18"/>
                <w:highlight w:val="none"/>
                <w:lang w:eastAsia="zh-CN"/>
              </w:rPr>
            </w:pPr>
            <w:r>
              <w:rPr>
                <w:rFonts w:hint="eastAsia" w:ascii="宋体" w:hAnsi="宋体" w:eastAsia="宋体" w:cs="宋体"/>
                <w:spacing w:val="13"/>
                <w:sz w:val="18"/>
                <w:szCs w:val="18"/>
                <w:highlight w:val="none"/>
                <w:lang w:eastAsia="zh-CN"/>
              </w:rPr>
              <w:t>按</w:t>
            </w:r>
            <w:r>
              <w:rPr>
                <w:rFonts w:hint="eastAsia" w:ascii="宋体" w:hAnsi="宋体" w:eastAsia="宋体" w:cs="宋体"/>
                <w:spacing w:val="10"/>
                <w:sz w:val="18"/>
                <w:szCs w:val="18"/>
                <w:highlight w:val="none"/>
                <w:lang w:eastAsia="zh-CN"/>
              </w:rPr>
              <w:t>照规定时间提供餐饮服</w:t>
            </w:r>
            <w:r>
              <w:rPr>
                <w:rFonts w:hint="eastAsia" w:ascii="宋体" w:hAnsi="宋体" w:eastAsia="宋体" w:cs="宋体"/>
                <w:spacing w:val="11"/>
                <w:sz w:val="18"/>
                <w:szCs w:val="18"/>
                <w:highlight w:val="none"/>
                <w:lang w:eastAsia="zh-CN"/>
              </w:rPr>
              <w:t>务</w:t>
            </w:r>
            <w:r>
              <w:rPr>
                <w:rFonts w:hint="eastAsia" w:ascii="宋体" w:hAnsi="宋体" w:eastAsia="宋体" w:cs="宋体"/>
                <w:spacing w:val="9"/>
                <w:sz w:val="18"/>
                <w:szCs w:val="18"/>
                <w:highlight w:val="none"/>
                <w:lang w:eastAsia="zh-CN"/>
              </w:rPr>
              <w:t>，不得无故提前或推迟</w:t>
            </w:r>
          </w:p>
        </w:tc>
        <w:tc>
          <w:tcPr>
            <w:tcW w:w="282" w:type="pct"/>
            <w:vMerge w:val="continue"/>
            <w:noWrap w:val="0"/>
            <w:vAlign w:val="center"/>
          </w:tcPr>
          <w:p w14:paraId="6029DA3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7DD0B0D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无故提前或推迟服务时间，发现一次扣1分</w:t>
            </w:r>
          </w:p>
        </w:tc>
        <w:tc>
          <w:tcPr>
            <w:tcW w:w="377" w:type="pct"/>
            <w:noWrap w:val="0"/>
            <w:vAlign w:val="top"/>
          </w:tcPr>
          <w:p w14:paraId="128A689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3152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3FB1C92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18"/>
                <w:szCs w:val="18"/>
                <w:highlight w:val="none"/>
                <w:lang w:val="en-US" w:eastAsia="zh-CN"/>
              </w:rPr>
            </w:pPr>
            <w:r>
              <w:rPr>
                <w:rFonts w:hint="eastAsia" w:ascii="宋体" w:hAnsi="宋体" w:cs="宋体"/>
                <w:spacing w:val="2"/>
                <w:sz w:val="18"/>
                <w:szCs w:val="18"/>
                <w:highlight w:val="none"/>
                <w:lang w:val="en-US" w:eastAsia="zh-CN"/>
              </w:rPr>
              <w:t>4</w:t>
            </w:r>
          </w:p>
        </w:tc>
        <w:tc>
          <w:tcPr>
            <w:tcW w:w="1172" w:type="pct"/>
            <w:noWrap w:val="0"/>
            <w:vAlign w:val="center"/>
          </w:tcPr>
          <w:p w14:paraId="051C6F4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default" w:ascii="宋体" w:hAnsi="宋体" w:eastAsia="宋体" w:cs="宋体"/>
                <w:spacing w:val="13"/>
                <w:sz w:val="18"/>
                <w:szCs w:val="18"/>
                <w:highlight w:val="none"/>
                <w:lang w:val="en-US" w:eastAsia="zh-CN"/>
              </w:rPr>
            </w:pPr>
            <w:r>
              <w:rPr>
                <w:rFonts w:hint="eastAsia" w:ascii="宋体" w:hAnsi="宋体" w:cs="宋体"/>
                <w:spacing w:val="13"/>
                <w:sz w:val="18"/>
                <w:szCs w:val="18"/>
                <w:highlight w:val="none"/>
                <w:lang w:val="en-US" w:eastAsia="zh-CN"/>
              </w:rPr>
              <w:t>窗口条线菜品情况</w:t>
            </w:r>
          </w:p>
        </w:tc>
        <w:tc>
          <w:tcPr>
            <w:tcW w:w="282" w:type="pct"/>
            <w:vMerge w:val="continue"/>
            <w:noWrap w:val="0"/>
            <w:vAlign w:val="center"/>
          </w:tcPr>
          <w:p w14:paraId="29843EA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3C53A0E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cs="宋体"/>
                <w:spacing w:val="4"/>
                <w:sz w:val="18"/>
                <w:szCs w:val="18"/>
                <w:highlight w:val="none"/>
                <w:lang w:val="en-US" w:eastAsia="zh-CN"/>
              </w:rPr>
            </w:pPr>
            <w:r>
              <w:rPr>
                <w:rFonts w:hint="eastAsia" w:ascii="宋体" w:hAnsi="宋体" w:cs="宋体"/>
                <w:spacing w:val="4"/>
                <w:sz w:val="18"/>
                <w:szCs w:val="18"/>
                <w:highlight w:val="none"/>
                <w:lang w:val="en-US" w:eastAsia="zh-CN"/>
              </w:rPr>
              <w:t>窗口条线出现打菜分量不均衡情况，发现1次扣1分；</w:t>
            </w:r>
          </w:p>
          <w:p w14:paraId="2F0A2A5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default" w:ascii="宋体" w:hAnsi="宋体" w:eastAsia="宋体" w:cs="宋体"/>
                <w:spacing w:val="4"/>
                <w:sz w:val="18"/>
                <w:szCs w:val="18"/>
                <w:highlight w:val="none"/>
                <w:lang w:val="en-US" w:eastAsia="zh-CN"/>
              </w:rPr>
            </w:pPr>
            <w:r>
              <w:rPr>
                <w:rFonts w:hint="eastAsia" w:ascii="宋体" w:hAnsi="宋体" w:cs="宋体"/>
                <w:spacing w:val="4"/>
                <w:sz w:val="18"/>
                <w:szCs w:val="18"/>
                <w:highlight w:val="none"/>
                <w:lang w:val="en-US" w:eastAsia="zh-CN"/>
              </w:rPr>
              <w:t>窗口条线发生菜品供应断档，发现1次扣1分</w:t>
            </w:r>
          </w:p>
        </w:tc>
        <w:tc>
          <w:tcPr>
            <w:tcW w:w="377" w:type="pct"/>
            <w:noWrap w:val="0"/>
            <w:vAlign w:val="top"/>
          </w:tcPr>
          <w:p w14:paraId="125B528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15EA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0949D6F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(二)</w:t>
            </w:r>
          </w:p>
        </w:tc>
        <w:tc>
          <w:tcPr>
            <w:tcW w:w="4313" w:type="pct"/>
            <w:gridSpan w:val="3"/>
            <w:noWrap w:val="0"/>
            <w:vAlign w:val="center"/>
          </w:tcPr>
          <w:p w14:paraId="7BB2099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lang w:eastAsia="zh-CN"/>
              </w:rPr>
            </w:pPr>
            <w:r>
              <w:rPr>
                <w:rFonts w:hint="eastAsia" w:ascii="宋体" w:hAnsi="宋体" w:eastAsia="宋体" w:cs="宋体"/>
                <w:b/>
                <w:bCs/>
                <w:spacing w:val="4"/>
                <w:sz w:val="18"/>
                <w:szCs w:val="18"/>
                <w:highlight w:val="none"/>
              </w:rPr>
              <w:t>菜品品种质量</w:t>
            </w:r>
          </w:p>
        </w:tc>
        <w:tc>
          <w:tcPr>
            <w:tcW w:w="377" w:type="pct"/>
            <w:noWrap w:val="0"/>
            <w:vAlign w:val="top"/>
          </w:tcPr>
          <w:p w14:paraId="55DFCE0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7AB5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553667B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1</w:t>
            </w:r>
          </w:p>
        </w:tc>
        <w:tc>
          <w:tcPr>
            <w:tcW w:w="1172" w:type="pct"/>
            <w:vMerge w:val="restart"/>
            <w:noWrap w:val="0"/>
            <w:vAlign w:val="center"/>
          </w:tcPr>
          <w:p w14:paraId="2BB90846">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菜品品种丰富，定期做好菜品更新，积极创新菜肴品种</w:t>
            </w:r>
          </w:p>
        </w:tc>
        <w:tc>
          <w:tcPr>
            <w:tcW w:w="282" w:type="pct"/>
            <w:vMerge w:val="restart"/>
            <w:noWrap w:val="0"/>
            <w:vAlign w:val="center"/>
          </w:tcPr>
          <w:p w14:paraId="32626C0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22</w:t>
            </w:r>
          </w:p>
        </w:tc>
        <w:tc>
          <w:tcPr>
            <w:tcW w:w="2858" w:type="pct"/>
            <w:noWrap w:val="0"/>
            <w:vAlign w:val="center"/>
          </w:tcPr>
          <w:p w14:paraId="6A374796">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每半个月菜品更新变化品种数量未达到规定的要求，发现一次扣1分</w:t>
            </w:r>
          </w:p>
        </w:tc>
        <w:tc>
          <w:tcPr>
            <w:tcW w:w="377" w:type="pct"/>
            <w:noWrap w:val="0"/>
            <w:vAlign w:val="top"/>
          </w:tcPr>
          <w:p w14:paraId="205A1F5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7E7E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3B2E612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43110C4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p>
        </w:tc>
        <w:tc>
          <w:tcPr>
            <w:tcW w:w="282" w:type="pct"/>
            <w:vMerge w:val="continue"/>
            <w:noWrap w:val="0"/>
            <w:vAlign w:val="center"/>
          </w:tcPr>
          <w:p w14:paraId="5429357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34B2D87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每月推出一种菜肴新品，当月未推出新品，发现一次扣1分</w:t>
            </w:r>
          </w:p>
        </w:tc>
        <w:tc>
          <w:tcPr>
            <w:tcW w:w="377" w:type="pct"/>
            <w:noWrap w:val="0"/>
            <w:vAlign w:val="top"/>
          </w:tcPr>
          <w:p w14:paraId="55FAAB0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5556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0A91E01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pacing w:val="1"/>
                <w:sz w:val="18"/>
                <w:szCs w:val="18"/>
                <w:highlight w:val="none"/>
              </w:rPr>
              <w:t>2</w:t>
            </w:r>
          </w:p>
        </w:tc>
        <w:tc>
          <w:tcPr>
            <w:tcW w:w="1172" w:type="pct"/>
            <w:vMerge w:val="restart"/>
            <w:noWrap w:val="0"/>
            <w:vAlign w:val="center"/>
          </w:tcPr>
          <w:p w14:paraId="420ADB98">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严格把控食材质量，加强食品保存管理，强化菜品制作流程监管</w:t>
            </w:r>
          </w:p>
        </w:tc>
        <w:tc>
          <w:tcPr>
            <w:tcW w:w="282" w:type="pct"/>
            <w:vMerge w:val="continue"/>
            <w:noWrap w:val="0"/>
            <w:vAlign w:val="center"/>
          </w:tcPr>
          <w:p w14:paraId="064D0AE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2858" w:type="pct"/>
            <w:noWrap w:val="0"/>
            <w:vAlign w:val="center"/>
          </w:tcPr>
          <w:p w14:paraId="614545F4">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对食材原料验收把关不严，原材料质量、数量不达标，发现一次扣2分；领料时未严格遵守仓库管理制度，发现一次扣1分</w:t>
            </w:r>
          </w:p>
        </w:tc>
        <w:tc>
          <w:tcPr>
            <w:tcW w:w="377" w:type="pct"/>
            <w:noWrap w:val="0"/>
            <w:vAlign w:val="top"/>
          </w:tcPr>
          <w:p w14:paraId="1331281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1F48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666775B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6C09A5D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0E48AF7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2FDCE67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食品按类别、品种分架、隔墙、离地整齐摆放，货架底层离地面高度不少于10 cm。不符合要求，发现一处扣1分</w:t>
            </w:r>
          </w:p>
        </w:tc>
        <w:tc>
          <w:tcPr>
            <w:tcW w:w="377" w:type="pct"/>
            <w:noWrap w:val="0"/>
            <w:vAlign w:val="top"/>
          </w:tcPr>
          <w:p w14:paraId="75E1618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464F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6ADF105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07C0CAF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14FE429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247FD99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食品添加剂做到专人保管、专人领用、专人登记、专柜保存，有使用记录。不符合规定，发现一次扣1分</w:t>
            </w:r>
          </w:p>
        </w:tc>
        <w:tc>
          <w:tcPr>
            <w:tcW w:w="377" w:type="pct"/>
            <w:noWrap w:val="0"/>
            <w:vAlign w:val="top"/>
          </w:tcPr>
          <w:p w14:paraId="78B366B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069F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15263EE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3382DB0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BE1A90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6AF311B8">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冰箱内食品生熟不分开存放，发现一处扣1分；成品半成品不加膜加盖存放，发现一处扣1分</w:t>
            </w:r>
          </w:p>
        </w:tc>
        <w:tc>
          <w:tcPr>
            <w:tcW w:w="377" w:type="pct"/>
            <w:noWrap w:val="0"/>
            <w:vAlign w:val="top"/>
          </w:tcPr>
          <w:p w14:paraId="7FCFEB0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35DD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76E999A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5AFAA4C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0ED1DF4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top"/>
          </w:tcPr>
          <w:p w14:paraId="2FB1CFF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菜品制作流程监管不严，拣洗不干净，有黄叶、草、虫、杂物，发现一次扣1分；菜品半成品丁、丝、片、条、块、段成形均匀，不符合标准，发现一次扣1分</w:t>
            </w:r>
          </w:p>
        </w:tc>
        <w:tc>
          <w:tcPr>
            <w:tcW w:w="377" w:type="pct"/>
            <w:noWrap w:val="0"/>
            <w:vAlign w:val="top"/>
          </w:tcPr>
          <w:p w14:paraId="22353BA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151C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73F7E85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115C719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502177B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top"/>
          </w:tcPr>
          <w:p w14:paraId="627D0A66">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切配好的半成品未能做到归类存放，发现一次扣1分；切配好的半成品未能在5小时内使用完毕，发现一次扣1分</w:t>
            </w:r>
          </w:p>
        </w:tc>
        <w:tc>
          <w:tcPr>
            <w:tcW w:w="377" w:type="pct"/>
            <w:noWrap w:val="0"/>
            <w:vAlign w:val="top"/>
          </w:tcPr>
          <w:p w14:paraId="7ED86C4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0F97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2C00558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119C688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149E34C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top"/>
          </w:tcPr>
          <w:p w14:paraId="62EC93B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冷冻食品出库后，未能及时使用造成反复冷冻，发现一次扣1分</w:t>
            </w:r>
          </w:p>
        </w:tc>
        <w:tc>
          <w:tcPr>
            <w:tcW w:w="377" w:type="pct"/>
            <w:noWrap w:val="0"/>
            <w:vAlign w:val="top"/>
          </w:tcPr>
          <w:p w14:paraId="7F62677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5248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551BB74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54AF192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659A8C5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top"/>
          </w:tcPr>
          <w:p w14:paraId="1F65828A">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每天剩余主食类、荤食类在冷却30分钟后，用不锈钢餐盆盛装，加盖保鲜膜放入冰箱熟食区；素食类食品应全部倒入残渣桶，不应再次使用。如不符合要求，发现一次扣1分</w:t>
            </w:r>
          </w:p>
        </w:tc>
        <w:tc>
          <w:tcPr>
            <w:tcW w:w="377" w:type="pct"/>
            <w:noWrap w:val="0"/>
            <w:vAlign w:val="top"/>
          </w:tcPr>
          <w:p w14:paraId="638BCB9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F54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3BDFBD7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3</w:t>
            </w:r>
          </w:p>
        </w:tc>
        <w:tc>
          <w:tcPr>
            <w:tcW w:w="1172" w:type="pct"/>
            <w:vMerge w:val="restart"/>
            <w:noWrap w:val="0"/>
            <w:vAlign w:val="center"/>
          </w:tcPr>
          <w:p w14:paraId="07C845F0">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精心组织厨房生产，严控菜品质量，保证饭菜供应，不出现断供现象</w:t>
            </w:r>
          </w:p>
        </w:tc>
        <w:tc>
          <w:tcPr>
            <w:tcW w:w="282" w:type="pct"/>
            <w:vMerge w:val="continue"/>
            <w:noWrap w:val="0"/>
            <w:vAlign w:val="center"/>
          </w:tcPr>
          <w:p w14:paraId="7F3DEF3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2858" w:type="pct"/>
            <w:noWrap w:val="0"/>
            <w:vAlign w:val="top"/>
          </w:tcPr>
          <w:p w14:paraId="095FB240">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菜品主辅料配比明显失调，发现一次扣1分；调味品配比明显失调，发现一次扣1分；点心成品造型不美观、口味不佳，发现一次扣1分</w:t>
            </w:r>
          </w:p>
        </w:tc>
        <w:tc>
          <w:tcPr>
            <w:tcW w:w="377" w:type="pct"/>
            <w:noWrap w:val="0"/>
            <w:vAlign w:val="top"/>
          </w:tcPr>
          <w:p w14:paraId="2B7BE1E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1820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4651749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19EEDF8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7628C3E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top"/>
          </w:tcPr>
          <w:p w14:paraId="4CACC578">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菜品成品色、香、味、型异常，发现一次扣1分；荤素品种搭配明显不合理，发现一次扣1分</w:t>
            </w:r>
          </w:p>
        </w:tc>
        <w:tc>
          <w:tcPr>
            <w:tcW w:w="377" w:type="pct"/>
            <w:noWrap w:val="0"/>
            <w:vAlign w:val="top"/>
          </w:tcPr>
          <w:p w14:paraId="600D53A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595D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308" w:type="pct"/>
            <w:vMerge w:val="continue"/>
            <w:noWrap w:val="0"/>
            <w:vAlign w:val="center"/>
          </w:tcPr>
          <w:p w14:paraId="26A3A89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4BE933F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2988AD5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top"/>
          </w:tcPr>
          <w:p w14:paraId="0350758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服务时间内保证饭菜供应充足，出现断供现象，发现一次扣2分</w:t>
            </w:r>
          </w:p>
        </w:tc>
        <w:tc>
          <w:tcPr>
            <w:tcW w:w="377" w:type="pct"/>
            <w:noWrap w:val="0"/>
            <w:vAlign w:val="top"/>
          </w:tcPr>
          <w:p w14:paraId="30494C0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B6F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7FE6ED4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4</w:t>
            </w:r>
          </w:p>
        </w:tc>
        <w:tc>
          <w:tcPr>
            <w:tcW w:w="1172" w:type="pct"/>
            <w:vMerge w:val="restart"/>
            <w:noWrap w:val="0"/>
            <w:vAlign w:val="center"/>
          </w:tcPr>
          <w:p w14:paraId="57ED665B">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严格控制菜品单次烹饪数量，做好现场菜品保温</w:t>
            </w:r>
          </w:p>
        </w:tc>
        <w:tc>
          <w:tcPr>
            <w:tcW w:w="282" w:type="pct"/>
            <w:vMerge w:val="continue"/>
            <w:noWrap w:val="0"/>
            <w:vAlign w:val="center"/>
          </w:tcPr>
          <w:p w14:paraId="2F66866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2858" w:type="pct"/>
            <w:noWrap w:val="0"/>
            <w:vAlign w:val="top"/>
          </w:tcPr>
          <w:p w14:paraId="1E51428A">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蔬菜类菜品当日完成烹饪，衔接时间控制不合理，造成菜品出锅时间过长不新鲜，发现一次扣1分；造成大量浪费，发现一次扣1分</w:t>
            </w:r>
          </w:p>
        </w:tc>
        <w:tc>
          <w:tcPr>
            <w:tcW w:w="377" w:type="pct"/>
            <w:noWrap w:val="0"/>
            <w:vAlign w:val="top"/>
          </w:tcPr>
          <w:p w14:paraId="4DCF2E2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2979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308" w:type="pct"/>
            <w:vMerge w:val="continue"/>
            <w:noWrap w:val="0"/>
            <w:vAlign w:val="center"/>
          </w:tcPr>
          <w:p w14:paraId="1B61B93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1172" w:type="pct"/>
            <w:vMerge w:val="continue"/>
            <w:noWrap w:val="0"/>
            <w:vAlign w:val="center"/>
          </w:tcPr>
          <w:p w14:paraId="4F849485">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0980AE2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2858" w:type="pct"/>
            <w:noWrap w:val="0"/>
            <w:vAlign w:val="top"/>
          </w:tcPr>
          <w:p w14:paraId="15F2286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原材料拣洗加工要杜绝浪费，发现一次扣1分；控制调料使用量，发现一次扣1分</w:t>
            </w:r>
          </w:p>
        </w:tc>
        <w:tc>
          <w:tcPr>
            <w:tcW w:w="377" w:type="pct"/>
            <w:noWrap w:val="0"/>
            <w:vAlign w:val="top"/>
          </w:tcPr>
          <w:p w14:paraId="413970B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421D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0C777AC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(三)</w:t>
            </w:r>
          </w:p>
        </w:tc>
        <w:tc>
          <w:tcPr>
            <w:tcW w:w="4313" w:type="pct"/>
            <w:gridSpan w:val="3"/>
            <w:noWrap w:val="0"/>
            <w:vAlign w:val="center"/>
          </w:tcPr>
          <w:p w14:paraId="00B3A17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lang w:val="en-US" w:eastAsia="zh-CN"/>
              </w:rPr>
            </w:pPr>
            <w:r>
              <w:rPr>
                <w:rFonts w:hint="eastAsia" w:ascii="宋体" w:hAnsi="宋体" w:eastAsia="宋体" w:cs="宋体"/>
                <w:b/>
                <w:bCs/>
                <w:spacing w:val="4"/>
                <w:sz w:val="18"/>
                <w:szCs w:val="18"/>
                <w:highlight w:val="none"/>
              </w:rPr>
              <w:t>环境卫生管</w:t>
            </w:r>
            <w:r>
              <w:rPr>
                <w:rFonts w:hint="eastAsia" w:ascii="宋体" w:hAnsi="宋体" w:eastAsia="宋体" w:cs="宋体"/>
                <w:b/>
                <w:bCs/>
                <w:spacing w:val="4"/>
                <w:sz w:val="18"/>
                <w:szCs w:val="18"/>
                <w:highlight w:val="none"/>
                <w:lang w:val="en-US" w:eastAsia="zh-CN"/>
              </w:rPr>
              <w:t>理</w:t>
            </w:r>
          </w:p>
        </w:tc>
        <w:tc>
          <w:tcPr>
            <w:tcW w:w="377" w:type="pct"/>
            <w:noWrap w:val="0"/>
            <w:vAlign w:val="top"/>
          </w:tcPr>
          <w:p w14:paraId="0D079DE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6C1C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308" w:type="pct"/>
            <w:vMerge w:val="restart"/>
            <w:noWrap w:val="0"/>
            <w:vAlign w:val="center"/>
          </w:tcPr>
          <w:p w14:paraId="2B74F83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1</w:t>
            </w:r>
          </w:p>
        </w:tc>
        <w:tc>
          <w:tcPr>
            <w:tcW w:w="1172" w:type="pct"/>
            <w:vMerge w:val="restart"/>
            <w:noWrap w:val="0"/>
            <w:vAlign w:val="center"/>
          </w:tcPr>
          <w:p w14:paraId="6105773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餐厅环境卫生干净、明亮、整洁、有序</w:t>
            </w:r>
          </w:p>
        </w:tc>
        <w:tc>
          <w:tcPr>
            <w:tcW w:w="282" w:type="pct"/>
            <w:vMerge w:val="restart"/>
            <w:noWrap w:val="0"/>
            <w:vAlign w:val="center"/>
          </w:tcPr>
          <w:p w14:paraId="4005482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24</w:t>
            </w:r>
          </w:p>
        </w:tc>
        <w:tc>
          <w:tcPr>
            <w:tcW w:w="2858" w:type="pct"/>
            <w:noWrap w:val="0"/>
            <w:vAlign w:val="center"/>
          </w:tcPr>
          <w:p w14:paraId="09450E8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餐厅的天花板、装饰物、墙壁及门窗、桌椅、地面有污迹，发现一处扣1分；</w:t>
            </w:r>
          </w:p>
        </w:tc>
        <w:tc>
          <w:tcPr>
            <w:tcW w:w="377" w:type="pct"/>
            <w:noWrap w:val="0"/>
            <w:vAlign w:val="top"/>
          </w:tcPr>
          <w:p w14:paraId="3269347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5520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57357EF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1DF3FA90">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6BC7383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4E4DBF06">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服务台面、垃圾桶有污迹、油迹，发现一处扣1分</w:t>
            </w:r>
          </w:p>
        </w:tc>
        <w:tc>
          <w:tcPr>
            <w:tcW w:w="377" w:type="pct"/>
            <w:noWrap w:val="0"/>
            <w:vAlign w:val="top"/>
          </w:tcPr>
          <w:p w14:paraId="5C8F142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4AB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2A24A0E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0FC3B955">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621737F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084E3807">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工作中，各类用具、设备、地面未清洗干净，发现一处扣1分</w:t>
            </w:r>
          </w:p>
        </w:tc>
        <w:tc>
          <w:tcPr>
            <w:tcW w:w="377" w:type="pct"/>
            <w:noWrap w:val="0"/>
            <w:vAlign w:val="top"/>
          </w:tcPr>
          <w:p w14:paraId="421303A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75C9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0AB57C7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31F5D880">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1740D05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4560AFA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厨房间清洁干净无油腻，不符合要求，发现一处扣1分</w:t>
            </w:r>
          </w:p>
        </w:tc>
        <w:tc>
          <w:tcPr>
            <w:tcW w:w="377" w:type="pct"/>
            <w:noWrap w:val="0"/>
            <w:vAlign w:val="top"/>
          </w:tcPr>
          <w:p w14:paraId="318A91C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52D4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2D5681C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1AA5EF6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23B6982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40C6FB98">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工作区有杂物或物品放置杂乱，发现一处扣1分；工作结束后厨房地面、炉灶不清洁、地沟有异物、有异味，发现一处扣1分</w:t>
            </w:r>
          </w:p>
        </w:tc>
        <w:tc>
          <w:tcPr>
            <w:tcW w:w="377" w:type="pct"/>
            <w:noWrap w:val="0"/>
            <w:vAlign w:val="top"/>
          </w:tcPr>
          <w:p w14:paraId="0DE7FB5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BB1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4A6F208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34FC92E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31AE0D5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12944B6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泔水、垃圾等废弃物未按规定存放或垃圾未及时清理，发现一次扣1分；垃圾桶未能及时清洗干净、定点放置或有明显异味，发现一次扣1分；下水道滤网撤除等造成堵塞情况，发现一次扣3分</w:t>
            </w:r>
          </w:p>
        </w:tc>
        <w:tc>
          <w:tcPr>
            <w:tcW w:w="377" w:type="pct"/>
            <w:noWrap w:val="0"/>
            <w:vAlign w:val="top"/>
          </w:tcPr>
          <w:p w14:paraId="752A552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1A16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2538B80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pacing w:val="1"/>
                <w:sz w:val="18"/>
                <w:szCs w:val="18"/>
                <w:highlight w:val="none"/>
              </w:rPr>
              <w:t>2</w:t>
            </w:r>
          </w:p>
        </w:tc>
        <w:tc>
          <w:tcPr>
            <w:tcW w:w="1172" w:type="pct"/>
            <w:vMerge w:val="restart"/>
            <w:noWrap w:val="0"/>
            <w:vAlign w:val="center"/>
          </w:tcPr>
          <w:p w14:paraId="0FA8522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加强员工身体健康及卫生管理，身体健康状况及穿戴符合要求</w:t>
            </w:r>
          </w:p>
        </w:tc>
        <w:tc>
          <w:tcPr>
            <w:tcW w:w="282" w:type="pct"/>
            <w:vMerge w:val="continue"/>
            <w:noWrap w:val="0"/>
            <w:vAlign w:val="center"/>
          </w:tcPr>
          <w:p w14:paraId="0CB1A4E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2858" w:type="pct"/>
            <w:noWrap w:val="0"/>
            <w:vAlign w:val="center"/>
          </w:tcPr>
          <w:p w14:paraId="1B028F7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员工化浓妆、使用气味怪异或浓烈香水、留长指甲、涂指甲或男同志留长发、长胡须，发现1人次扣3分</w:t>
            </w:r>
          </w:p>
        </w:tc>
        <w:tc>
          <w:tcPr>
            <w:tcW w:w="377" w:type="pct"/>
            <w:noWrap w:val="0"/>
            <w:vAlign w:val="center"/>
          </w:tcPr>
          <w:p w14:paraId="5009B90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7824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0E97576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42FF98D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34DB81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4EC98090">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厨师、熟食品操作、传菜及服务人员等未按规定佩戴一次性手套、口罩，发现1人次扣3分</w:t>
            </w:r>
          </w:p>
        </w:tc>
        <w:tc>
          <w:tcPr>
            <w:tcW w:w="377" w:type="pct"/>
            <w:noWrap w:val="0"/>
            <w:vAlign w:val="center"/>
          </w:tcPr>
          <w:p w14:paraId="07156B1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622F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19F883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4B885D4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67AB7C1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78ED3E0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员工有发热、腹泻等身体不适症状，未及时调整工作岗位，发现1人次扣3分</w:t>
            </w:r>
          </w:p>
        </w:tc>
        <w:tc>
          <w:tcPr>
            <w:tcW w:w="377" w:type="pct"/>
            <w:noWrap w:val="0"/>
            <w:vAlign w:val="center"/>
          </w:tcPr>
          <w:p w14:paraId="104D90A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61A0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0392F9D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3</w:t>
            </w:r>
          </w:p>
        </w:tc>
        <w:tc>
          <w:tcPr>
            <w:tcW w:w="1172" w:type="pct"/>
            <w:vMerge w:val="restart"/>
            <w:noWrap w:val="0"/>
            <w:vAlign w:val="center"/>
          </w:tcPr>
          <w:p w14:paraId="644F2E1D">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厨房物品按规定要求管理，加工现场井然有序</w:t>
            </w:r>
          </w:p>
        </w:tc>
        <w:tc>
          <w:tcPr>
            <w:tcW w:w="282" w:type="pct"/>
            <w:vMerge w:val="continue"/>
            <w:noWrap w:val="0"/>
            <w:vAlign w:val="center"/>
          </w:tcPr>
          <w:p w14:paraId="4A128CE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2858" w:type="pct"/>
            <w:noWrap w:val="0"/>
            <w:vAlign w:val="center"/>
          </w:tcPr>
          <w:p w14:paraId="1424502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刀板分类分色使用，未按规定操作，发现一次扣1分；收工后刀具及砧板未及时清洗干净、未按规定侧放或悬挂，发现一次扣1分</w:t>
            </w:r>
          </w:p>
        </w:tc>
        <w:tc>
          <w:tcPr>
            <w:tcW w:w="377" w:type="pct"/>
            <w:noWrap w:val="0"/>
            <w:vAlign w:val="center"/>
          </w:tcPr>
          <w:p w14:paraId="423F70A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27E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3234095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714A89E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3AC7B51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31776CD7">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调味品使用后未按规定管理，调味罐周边未清理干净，发现一次扣1分</w:t>
            </w:r>
          </w:p>
        </w:tc>
        <w:tc>
          <w:tcPr>
            <w:tcW w:w="377" w:type="pct"/>
            <w:noWrap w:val="0"/>
            <w:vAlign w:val="center"/>
          </w:tcPr>
          <w:p w14:paraId="70A58D0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7F69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4A314A6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4805121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50D175E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395989C4">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清洁用具及车辆使用后未及时清洗干净或未按规定位置归放，发现一次扣1分</w:t>
            </w:r>
          </w:p>
        </w:tc>
        <w:tc>
          <w:tcPr>
            <w:tcW w:w="377" w:type="pct"/>
            <w:noWrap w:val="0"/>
            <w:vAlign w:val="center"/>
          </w:tcPr>
          <w:p w14:paraId="37287CB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43D0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375303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2F297D15">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4032924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26785C75">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烹调用具使用后未按规定清洗干净或未归位存放，发现一次扣1分</w:t>
            </w:r>
          </w:p>
        </w:tc>
        <w:tc>
          <w:tcPr>
            <w:tcW w:w="377" w:type="pct"/>
            <w:noWrap w:val="0"/>
            <w:vAlign w:val="center"/>
          </w:tcPr>
          <w:p w14:paraId="69FA8FA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2276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B76A15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74E82FE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3253E98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5334609D">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冰箱冷藏温度应保持在0~4℃之间，冷库冷冻温度不超过-18℃，每周进行除霜、清洁。不符合规定，发现一次扣1分</w:t>
            </w:r>
          </w:p>
        </w:tc>
        <w:tc>
          <w:tcPr>
            <w:tcW w:w="377" w:type="pct"/>
            <w:noWrap w:val="0"/>
            <w:vAlign w:val="center"/>
          </w:tcPr>
          <w:p w14:paraId="0BE7677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7414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20996DF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pacing w:val="2"/>
                <w:sz w:val="18"/>
                <w:szCs w:val="18"/>
                <w:highlight w:val="none"/>
              </w:rPr>
              <w:t>4</w:t>
            </w:r>
          </w:p>
        </w:tc>
        <w:tc>
          <w:tcPr>
            <w:tcW w:w="1172" w:type="pct"/>
            <w:vMerge w:val="restart"/>
            <w:noWrap w:val="0"/>
            <w:vAlign w:val="center"/>
          </w:tcPr>
          <w:p w14:paraId="06AB206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储物柜、盛器、容器、餐具管理规范，干净整洁卫生</w:t>
            </w:r>
          </w:p>
        </w:tc>
        <w:tc>
          <w:tcPr>
            <w:tcW w:w="282" w:type="pct"/>
            <w:vMerge w:val="continue"/>
            <w:noWrap w:val="0"/>
            <w:vAlign w:val="center"/>
          </w:tcPr>
          <w:p w14:paraId="7188E39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2858" w:type="pct"/>
            <w:noWrap w:val="0"/>
            <w:vAlign w:val="center"/>
          </w:tcPr>
          <w:p w14:paraId="5A3412B5">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餐盒盛装剩余食品时，应先冷却30分钟后再加盖保鲜膜放入冰箱熟食区(0℃~4℃)存放。剩余食品有登记记录。不符合规定，发现一次扣2分</w:t>
            </w:r>
          </w:p>
        </w:tc>
        <w:tc>
          <w:tcPr>
            <w:tcW w:w="377" w:type="pct"/>
            <w:noWrap w:val="0"/>
            <w:vAlign w:val="center"/>
          </w:tcPr>
          <w:p w14:paraId="134B587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4E62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38B2B7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1CD26E6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63D4AC8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0662D4D5">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盛器、容器管理不规范、有污迹或与地面接触，发现一处扣2分</w:t>
            </w:r>
          </w:p>
        </w:tc>
        <w:tc>
          <w:tcPr>
            <w:tcW w:w="377" w:type="pct"/>
            <w:noWrap w:val="0"/>
            <w:vAlign w:val="center"/>
          </w:tcPr>
          <w:p w14:paraId="2BA4833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55B8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CD50D5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1CA1905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08749AA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540AF12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4"/>
                <w:sz w:val="18"/>
                <w:szCs w:val="18"/>
                <w:highlight w:val="none"/>
                <w:lang w:eastAsia="zh-CN"/>
              </w:rPr>
            </w:pPr>
            <w:r>
              <w:rPr>
                <w:rFonts w:hint="eastAsia" w:ascii="宋体" w:hAnsi="宋体" w:eastAsia="宋体" w:cs="宋体"/>
                <w:spacing w:val="4"/>
                <w:sz w:val="18"/>
                <w:szCs w:val="18"/>
                <w:highlight w:val="none"/>
                <w:lang w:eastAsia="zh-CN"/>
              </w:rPr>
              <w:t>餐具未清洗干净、有污迹或水迹，发现一处扣1分；未用纱布覆盖分类平整堆放，发现一处扣1分</w:t>
            </w:r>
          </w:p>
        </w:tc>
        <w:tc>
          <w:tcPr>
            <w:tcW w:w="377" w:type="pct"/>
            <w:noWrap w:val="0"/>
            <w:vAlign w:val="center"/>
          </w:tcPr>
          <w:p w14:paraId="74E1F0D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23FC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2C0B0D3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(四)</w:t>
            </w:r>
          </w:p>
        </w:tc>
        <w:tc>
          <w:tcPr>
            <w:tcW w:w="4313" w:type="pct"/>
            <w:gridSpan w:val="3"/>
            <w:noWrap w:val="0"/>
            <w:vAlign w:val="center"/>
          </w:tcPr>
          <w:p w14:paraId="2DD696F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lang w:eastAsia="zh-CN"/>
              </w:rPr>
            </w:pPr>
            <w:r>
              <w:rPr>
                <w:rFonts w:hint="eastAsia" w:ascii="宋体" w:hAnsi="宋体" w:eastAsia="宋体" w:cs="宋体"/>
                <w:b/>
                <w:bCs/>
                <w:spacing w:val="4"/>
                <w:sz w:val="18"/>
                <w:szCs w:val="18"/>
                <w:highlight w:val="none"/>
              </w:rPr>
              <w:t>安全管理</w:t>
            </w:r>
          </w:p>
        </w:tc>
        <w:tc>
          <w:tcPr>
            <w:tcW w:w="377" w:type="pct"/>
            <w:noWrap w:val="0"/>
            <w:vAlign w:val="center"/>
          </w:tcPr>
          <w:p w14:paraId="14C08EF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0076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2F1CF6C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1</w:t>
            </w:r>
          </w:p>
        </w:tc>
        <w:tc>
          <w:tcPr>
            <w:tcW w:w="1172" w:type="pct"/>
            <w:vMerge w:val="restart"/>
            <w:noWrap w:val="0"/>
            <w:vAlign w:val="center"/>
          </w:tcPr>
          <w:p w14:paraId="4805CBCE">
            <w:pPr>
              <w:keepNext w:val="0"/>
              <w:keepLines w:val="0"/>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严格食品安全管理，贯彻食品安全管理规定，遵循食品安全管理要求</w:t>
            </w:r>
          </w:p>
        </w:tc>
        <w:tc>
          <w:tcPr>
            <w:tcW w:w="282" w:type="pct"/>
            <w:vMerge w:val="restart"/>
            <w:noWrap w:val="0"/>
            <w:vAlign w:val="center"/>
          </w:tcPr>
          <w:p w14:paraId="40086FC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16</w:t>
            </w:r>
          </w:p>
        </w:tc>
        <w:tc>
          <w:tcPr>
            <w:tcW w:w="2858" w:type="pct"/>
            <w:noWrap w:val="0"/>
            <w:vAlign w:val="center"/>
          </w:tcPr>
          <w:p w14:paraId="35A90295">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做好食品留样及记录等工作，每份样品留样盒应张贴标签，注明留样品种、留样时间、留样人，样品至少应存放48小时以上。未留、漏留或未记录、记录不全，发现一次扣2分</w:t>
            </w:r>
          </w:p>
        </w:tc>
        <w:tc>
          <w:tcPr>
            <w:tcW w:w="377" w:type="pct"/>
            <w:noWrap w:val="0"/>
            <w:vAlign w:val="center"/>
          </w:tcPr>
          <w:p w14:paraId="44DC176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37A5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75D94B4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6A4CFD8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3A2A110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4A7E3724">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消毒餐具时，确保水温控制在85℃以上，冲洗消毒时间40秒以上。未按要求消毒餐具，发现一次扣2分</w:t>
            </w:r>
          </w:p>
        </w:tc>
        <w:tc>
          <w:tcPr>
            <w:tcW w:w="377" w:type="pct"/>
            <w:noWrap w:val="0"/>
            <w:vAlign w:val="center"/>
          </w:tcPr>
          <w:p w14:paraId="564EF06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0CC1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491D6D9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606C04ED">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left"/>
              <w:textAlignment w:val="baseline"/>
              <w:rPr>
                <w:rFonts w:hint="eastAsia" w:ascii="宋体" w:hAnsi="宋体" w:eastAsia="宋体" w:cs="宋体"/>
                <w:spacing w:val="13"/>
                <w:sz w:val="18"/>
                <w:szCs w:val="18"/>
                <w:highlight w:val="none"/>
                <w:lang w:eastAsia="zh-CN"/>
              </w:rPr>
            </w:pPr>
          </w:p>
        </w:tc>
        <w:tc>
          <w:tcPr>
            <w:tcW w:w="282" w:type="pct"/>
            <w:vMerge w:val="continue"/>
            <w:noWrap w:val="0"/>
            <w:vAlign w:val="center"/>
          </w:tcPr>
          <w:p w14:paraId="50AF459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58" w:type="pct"/>
            <w:noWrap w:val="0"/>
            <w:vAlign w:val="center"/>
          </w:tcPr>
          <w:p w14:paraId="6E7B6EA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加强调味品及添加剂使用管理，调味品及添加剂使用不符合规定，发现一次扣2分</w:t>
            </w:r>
          </w:p>
        </w:tc>
        <w:tc>
          <w:tcPr>
            <w:tcW w:w="377" w:type="pct"/>
            <w:noWrap w:val="0"/>
            <w:vAlign w:val="center"/>
          </w:tcPr>
          <w:p w14:paraId="36AC0BB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3E10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2F165B8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2</w:t>
            </w:r>
          </w:p>
        </w:tc>
        <w:tc>
          <w:tcPr>
            <w:tcW w:w="1172" w:type="pct"/>
            <w:vMerge w:val="restart"/>
            <w:noWrap w:val="0"/>
            <w:vAlign w:val="center"/>
          </w:tcPr>
          <w:p w14:paraId="21B861B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加强工作服务区域安全服务保障，杜绝安全事故</w:t>
            </w:r>
          </w:p>
        </w:tc>
        <w:tc>
          <w:tcPr>
            <w:tcW w:w="282" w:type="pct"/>
            <w:vMerge w:val="continue"/>
            <w:noWrap w:val="0"/>
            <w:vAlign w:val="center"/>
          </w:tcPr>
          <w:p w14:paraId="5C453C3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rPr>
            </w:pPr>
          </w:p>
        </w:tc>
        <w:tc>
          <w:tcPr>
            <w:tcW w:w="2858" w:type="pct"/>
            <w:noWrap w:val="0"/>
            <w:vAlign w:val="center"/>
          </w:tcPr>
          <w:p w14:paraId="429B09B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严格执行各类设备设施操作规范，有违章操作、超负荷运转或用水直接冲洗设备，发现一次扣2分</w:t>
            </w:r>
          </w:p>
        </w:tc>
        <w:tc>
          <w:tcPr>
            <w:tcW w:w="377" w:type="pct"/>
            <w:noWrap w:val="0"/>
            <w:vAlign w:val="top"/>
          </w:tcPr>
          <w:p w14:paraId="640C1EF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18A5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0F70D0B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34DC258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66451CC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47319A00">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天然气使用过程中，现场必须有人员在场，不得离开岗位。现场无人，发现一次扣1分</w:t>
            </w:r>
          </w:p>
        </w:tc>
        <w:tc>
          <w:tcPr>
            <w:tcW w:w="377" w:type="pct"/>
            <w:noWrap w:val="0"/>
            <w:vAlign w:val="top"/>
          </w:tcPr>
          <w:p w14:paraId="2A95905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297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61F46FE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2DD0115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1D6FBEB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32C1410A">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餐后及时关闭水电气开关。未及时关闭，发现一次扣2分</w:t>
            </w:r>
          </w:p>
        </w:tc>
        <w:tc>
          <w:tcPr>
            <w:tcW w:w="377" w:type="pct"/>
            <w:noWrap w:val="0"/>
            <w:vAlign w:val="top"/>
          </w:tcPr>
          <w:p w14:paraId="65DB1E5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0E1B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27A5521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709DCAB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337F505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28A6322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厨房间应配备消防灭火毯，员工应能熟练运用其使用方法。未能熟练掌握，发现一人扣1分</w:t>
            </w:r>
          </w:p>
        </w:tc>
        <w:tc>
          <w:tcPr>
            <w:tcW w:w="377" w:type="pct"/>
            <w:noWrap w:val="0"/>
            <w:vAlign w:val="top"/>
          </w:tcPr>
          <w:p w14:paraId="55A6A18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4698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2C765DA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2B79F86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561C40E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534C2D2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熟练掌握现场灭火器使用方法，未熟练掌握，发现一人扣1分</w:t>
            </w:r>
          </w:p>
        </w:tc>
        <w:tc>
          <w:tcPr>
            <w:tcW w:w="377" w:type="pct"/>
            <w:noWrap w:val="0"/>
            <w:vAlign w:val="top"/>
          </w:tcPr>
          <w:p w14:paraId="30F572F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C75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26E8285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79E81ED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49137D1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4E76B6D7">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服务时间结束后及时锁闭餐厅门窗。未及时锁闭，发现一次扣2分</w:t>
            </w:r>
          </w:p>
        </w:tc>
        <w:tc>
          <w:tcPr>
            <w:tcW w:w="377" w:type="pct"/>
            <w:noWrap w:val="0"/>
            <w:vAlign w:val="top"/>
          </w:tcPr>
          <w:p w14:paraId="4D794F8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086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vAlign w:val="center"/>
          </w:tcPr>
          <w:p w14:paraId="26C0BE7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二</w:t>
            </w:r>
          </w:p>
        </w:tc>
        <w:tc>
          <w:tcPr>
            <w:tcW w:w="1172" w:type="pct"/>
            <w:noWrap w:val="0"/>
            <w:vAlign w:val="center"/>
          </w:tcPr>
          <w:p w14:paraId="38EBDF2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管理考核</w:t>
            </w:r>
          </w:p>
        </w:tc>
        <w:tc>
          <w:tcPr>
            <w:tcW w:w="282" w:type="pct"/>
            <w:noWrap w:val="0"/>
            <w:vAlign w:val="center"/>
          </w:tcPr>
          <w:p w14:paraId="3393DEB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eastAsia="宋体" w:cs="宋体"/>
                <w:b/>
                <w:bCs/>
                <w:spacing w:val="4"/>
                <w:sz w:val="18"/>
                <w:szCs w:val="18"/>
                <w:highlight w:val="none"/>
                <w:lang w:val="en-US" w:eastAsia="zh-CN"/>
              </w:rPr>
            </w:pPr>
            <w:r>
              <w:rPr>
                <w:rFonts w:hint="eastAsia" w:ascii="宋体" w:hAnsi="宋体" w:cs="宋体"/>
                <w:b/>
                <w:bCs/>
                <w:spacing w:val="4"/>
                <w:sz w:val="18"/>
                <w:szCs w:val="18"/>
                <w:highlight w:val="none"/>
                <w:lang w:val="en-US" w:eastAsia="zh-CN"/>
              </w:rPr>
              <w:t>30</w:t>
            </w:r>
          </w:p>
        </w:tc>
        <w:tc>
          <w:tcPr>
            <w:tcW w:w="2858" w:type="pct"/>
            <w:noWrap w:val="0"/>
            <w:vAlign w:val="center"/>
          </w:tcPr>
          <w:p w14:paraId="2485601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hanging="4"/>
              <w:jc w:val="both"/>
              <w:textAlignment w:val="baseline"/>
              <w:rPr>
                <w:rFonts w:hint="eastAsia" w:ascii="宋体" w:hAnsi="宋体" w:eastAsia="宋体" w:cs="宋体"/>
                <w:b/>
                <w:bCs/>
                <w:spacing w:val="4"/>
                <w:sz w:val="18"/>
                <w:szCs w:val="18"/>
                <w:highlight w:val="none"/>
                <w:lang w:eastAsia="zh-CN"/>
              </w:rPr>
            </w:pPr>
          </w:p>
        </w:tc>
        <w:tc>
          <w:tcPr>
            <w:tcW w:w="377" w:type="pct"/>
            <w:noWrap w:val="0"/>
            <w:vAlign w:val="center"/>
          </w:tcPr>
          <w:p w14:paraId="31035C6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r>
      <w:tr w14:paraId="71A9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5CFB16C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1</w:t>
            </w:r>
          </w:p>
        </w:tc>
        <w:tc>
          <w:tcPr>
            <w:tcW w:w="1172" w:type="pct"/>
            <w:vMerge w:val="restart"/>
            <w:noWrap w:val="0"/>
            <w:vAlign w:val="center"/>
          </w:tcPr>
          <w:p w14:paraId="68E8B65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服务管理制度、方案计划、流程标准建设</w:t>
            </w:r>
          </w:p>
        </w:tc>
        <w:tc>
          <w:tcPr>
            <w:tcW w:w="282" w:type="pct"/>
            <w:vMerge w:val="restart"/>
            <w:noWrap w:val="0"/>
            <w:vAlign w:val="center"/>
          </w:tcPr>
          <w:p w14:paraId="000A07F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1"/>
                <w:sz w:val="18"/>
                <w:szCs w:val="18"/>
                <w:highlight w:val="none"/>
                <w:lang w:val="en-US" w:eastAsia="zh-CN"/>
              </w:rPr>
            </w:pPr>
            <w:r>
              <w:rPr>
                <w:rFonts w:hint="eastAsia" w:ascii="宋体" w:hAnsi="宋体" w:cs="宋体"/>
                <w:spacing w:val="1"/>
                <w:sz w:val="18"/>
                <w:szCs w:val="18"/>
                <w:highlight w:val="none"/>
                <w:lang w:val="en-US" w:eastAsia="zh-CN"/>
              </w:rPr>
              <w:t>30</w:t>
            </w:r>
          </w:p>
        </w:tc>
        <w:tc>
          <w:tcPr>
            <w:tcW w:w="2858" w:type="pct"/>
            <w:noWrap w:val="0"/>
            <w:vAlign w:val="center"/>
          </w:tcPr>
          <w:p w14:paraId="687F52F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未按照标准化工作要求，制定明确的岗位工作职责，扣1分</w:t>
            </w:r>
          </w:p>
        </w:tc>
        <w:tc>
          <w:tcPr>
            <w:tcW w:w="377" w:type="pct"/>
            <w:noWrap w:val="0"/>
            <w:vAlign w:val="top"/>
          </w:tcPr>
          <w:p w14:paraId="67759B3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4171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12CE58A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1AF362C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3F0C466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5F0D542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未按照标准化工作要求，制定完善的服务管理工作流程、标准，每缺一项扣1分</w:t>
            </w:r>
          </w:p>
        </w:tc>
        <w:tc>
          <w:tcPr>
            <w:tcW w:w="377" w:type="pct"/>
            <w:noWrap w:val="0"/>
            <w:vAlign w:val="top"/>
          </w:tcPr>
          <w:p w14:paraId="3117D4E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5433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74A1536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1371CBE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3D9849D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37E2AC9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未制定内部服务管理考核制度，扣1分</w:t>
            </w:r>
          </w:p>
        </w:tc>
        <w:tc>
          <w:tcPr>
            <w:tcW w:w="377" w:type="pct"/>
            <w:noWrap w:val="0"/>
            <w:vAlign w:val="top"/>
          </w:tcPr>
          <w:p w14:paraId="6832A37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E14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A77379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6B439DD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06551B0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57807D4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未制定切实可行的工作方案和计划，扣1分</w:t>
            </w:r>
          </w:p>
        </w:tc>
        <w:tc>
          <w:tcPr>
            <w:tcW w:w="377" w:type="pct"/>
            <w:noWrap w:val="0"/>
            <w:vAlign w:val="top"/>
          </w:tcPr>
          <w:p w14:paraId="2A2033E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C5B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308" w:type="pct"/>
            <w:vMerge w:val="continue"/>
            <w:noWrap w:val="0"/>
            <w:vAlign w:val="center"/>
          </w:tcPr>
          <w:p w14:paraId="7E4303B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29B6277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C7AAAB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2DD6EFF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未制定切实可行的员工培训方案和计划，扣1分</w:t>
            </w:r>
          </w:p>
        </w:tc>
        <w:tc>
          <w:tcPr>
            <w:tcW w:w="377" w:type="pct"/>
            <w:noWrap w:val="0"/>
            <w:vAlign w:val="top"/>
          </w:tcPr>
          <w:p w14:paraId="5193E2F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7BFB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75D5E17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05FF54B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0548543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65661CC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未建立切实可行的应急处置预案，扣2分</w:t>
            </w:r>
          </w:p>
        </w:tc>
        <w:tc>
          <w:tcPr>
            <w:tcW w:w="377" w:type="pct"/>
            <w:noWrap w:val="0"/>
            <w:vAlign w:val="top"/>
          </w:tcPr>
          <w:p w14:paraId="5929797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5863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1E0D921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7475440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40B408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14C67CA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未建立台账记录档案资料管理制度，扣3分</w:t>
            </w:r>
          </w:p>
        </w:tc>
        <w:tc>
          <w:tcPr>
            <w:tcW w:w="377" w:type="pct"/>
            <w:noWrap w:val="0"/>
            <w:vAlign w:val="top"/>
          </w:tcPr>
          <w:p w14:paraId="3E9E53C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FB5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2AC1FE2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17CC37B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0087A1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6B314B5B">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未按照标准化工作要求，将管理制度、岗位职责等成册或悬挂上墙，每缺一项扣2分</w:t>
            </w:r>
          </w:p>
        </w:tc>
        <w:tc>
          <w:tcPr>
            <w:tcW w:w="377" w:type="pct"/>
            <w:noWrap w:val="0"/>
            <w:vAlign w:val="top"/>
          </w:tcPr>
          <w:p w14:paraId="736E0F7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7A2D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035BC1F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2</w:t>
            </w:r>
          </w:p>
        </w:tc>
        <w:tc>
          <w:tcPr>
            <w:tcW w:w="1172" w:type="pct"/>
            <w:vMerge w:val="restart"/>
            <w:noWrap w:val="0"/>
            <w:vAlign w:val="center"/>
          </w:tcPr>
          <w:p w14:paraId="6AF9F35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服务管理执行监督</w:t>
            </w:r>
          </w:p>
        </w:tc>
        <w:tc>
          <w:tcPr>
            <w:tcW w:w="282" w:type="pct"/>
            <w:vMerge w:val="continue"/>
            <w:noWrap w:val="0"/>
            <w:vAlign w:val="center"/>
          </w:tcPr>
          <w:p w14:paraId="432526E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rPr>
            </w:pPr>
          </w:p>
        </w:tc>
        <w:tc>
          <w:tcPr>
            <w:tcW w:w="2858" w:type="pct"/>
            <w:noWrap w:val="0"/>
            <w:vAlign w:val="center"/>
          </w:tcPr>
          <w:p w14:paraId="389F3BFA">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无故未按既定工作方案和计划执行，每次扣2分</w:t>
            </w:r>
          </w:p>
        </w:tc>
        <w:tc>
          <w:tcPr>
            <w:tcW w:w="377" w:type="pct"/>
            <w:noWrap w:val="0"/>
            <w:vAlign w:val="top"/>
          </w:tcPr>
          <w:p w14:paraId="05A2501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1B5A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22C709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5D736B6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BDDC4A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5A99EE4D">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未按规定工作流程、标准执行，每次扣2分</w:t>
            </w:r>
          </w:p>
        </w:tc>
        <w:tc>
          <w:tcPr>
            <w:tcW w:w="377" w:type="pct"/>
            <w:noWrap w:val="0"/>
            <w:vAlign w:val="top"/>
          </w:tcPr>
          <w:p w14:paraId="2EED4B8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088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31753D1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55676B8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4295D9B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39C6C56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未按规定组织应急处置预案演练，每次扣3分</w:t>
            </w:r>
          </w:p>
        </w:tc>
        <w:tc>
          <w:tcPr>
            <w:tcW w:w="377" w:type="pct"/>
            <w:noWrap w:val="0"/>
            <w:vAlign w:val="top"/>
          </w:tcPr>
          <w:p w14:paraId="2E59494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BB8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5DC1C84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0565BF4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320A249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1E411D04">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发现或应发现安全隐患，未及时上报管理部门，每次扣3分</w:t>
            </w:r>
          </w:p>
        </w:tc>
        <w:tc>
          <w:tcPr>
            <w:tcW w:w="377" w:type="pct"/>
            <w:noWrap w:val="0"/>
            <w:vAlign w:val="top"/>
          </w:tcPr>
          <w:p w14:paraId="1358659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1F9F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06D24F4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0A39DE6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13D975A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05015C50">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未落实内部服务管理监督考核制度，扣1分</w:t>
            </w:r>
          </w:p>
        </w:tc>
        <w:tc>
          <w:tcPr>
            <w:tcW w:w="377" w:type="pct"/>
            <w:noWrap w:val="0"/>
            <w:vAlign w:val="top"/>
          </w:tcPr>
          <w:p w14:paraId="444979A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4A22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E4282E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3188F50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3E78C07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2FAD3C6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未按规定建立值班工作机制，扣1分</w:t>
            </w:r>
          </w:p>
        </w:tc>
        <w:tc>
          <w:tcPr>
            <w:tcW w:w="377" w:type="pct"/>
            <w:noWrap w:val="0"/>
            <w:vAlign w:val="top"/>
          </w:tcPr>
          <w:p w14:paraId="76D1719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678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45F022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468153F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70223C2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36C871D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未按规定申报领用物品，每次扣1分</w:t>
            </w:r>
          </w:p>
        </w:tc>
        <w:tc>
          <w:tcPr>
            <w:tcW w:w="377" w:type="pct"/>
            <w:noWrap w:val="0"/>
            <w:vAlign w:val="top"/>
          </w:tcPr>
          <w:p w14:paraId="4749934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D8C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CA5BBF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00F70A5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09479B9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309BB8FD">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服务管理过程中违反节能规定，有人为浪费现象或行为，每人每次扣1分</w:t>
            </w:r>
          </w:p>
        </w:tc>
        <w:tc>
          <w:tcPr>
            <w:tcW w:w="377" w:type="pct"/>
            <w:noWrap w:val="0"/>
            <w:vAlign w:val="top"/>
          </w:tcPr>
          <w:p w14:paraId="071634B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841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76FF342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73F2E13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02786A2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31502557">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服务管理过程中有故意损坏财物现象，有私自夹带餐厅原辅料等物品外出等行为，每人每次扣3分</w:t>
            </w:r>
          </w:p>
        </w:tc>
        <w:tc>
          <w:tcPr>
            <w:tcW w:w="377" w:type="pct"/>
            <w:noWrap w:val="0"/>
            <w:vAlign w:val="top"/>
          </w:tcPr>
          <w:p w14:paraId="1E4F9C9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577C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0DF3BAD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3</w:t>
            </w:r>
          </w:p>
        </w:tc>
        <w:tc>
          <w:tcPr>
            <w:tcW w:w="1172" w:type="pct"/>
            <w:vMerge w:val="restart"/>
            <w:noWrap w:val="0"/>
            <w:vAlign w:val="center"/>
          </w:tcPr>
          <w:p w14:paraId="680447C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组织机构及人员管理</w:t>
            </w:r>
          </w:p>
        </w:tc>
        <w:tc>
          <w:tcPr>
            <w:tcW w:w="282" w:type="pct"/>
            <w:vMerge w:val="continue"/>
            <w:noWrap w:val="0"/>
            <w:vAlign w:val="center"/>
          </w:tcPr>
          <w:p w14:paraId="4E35F82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rPr>
            </w:pPr>
          </w:p>
        </w:tc>
        <w:tc>
          <w:tcPr>
            <w:tcW w:w="2858" w:type="pct"/>
            <w:noWrap w:val="0"/>
            <w:vAlign w:val="center"/>
          </w:tcPr>
          <w:p w14:paraId="0774F3B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组织架构不健全或不合理，扣2分</w:t>
            </w:r>
          </w:p>
        </w:tc>
        <w:tc>
          <w:tcPr>
            <w:tcW w:w="377" w:type="pct"/>
            <w:noWrap w:val="0"/>
            <w:vAlign w:val="top"/>
          </w:tcPr>
          <w:p w14:paraId="225DEDA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0E82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4A912AD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355941F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5A281A7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22D701A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未按合同规定设置岗位，每个岗位扣2分</w:t>
            </w:r>
          </w:p>
        </w:tc>
        <w:tc>
          <w:tcPr>
            <w:tcW w:w="377" w:type="pct"/>
            <w:noWrap w:val="0"/>
            <w:vAlign w:val="top"/>
          </w:tcPr>
          <w:p w14:paraId="4C5419E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7C1A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12AC6A3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122A071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3214D6B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00DC2212">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default" w:ascii="宋体" w:hAnsi="宋体" w:eastAsia="宋体" w:cs="宋体"/>
                <w:spacing w:val="13"/>
                <w:sz w:val="18"/>
                <w:szCs w:val="18"/>
                <w:highlight w:val="none"/>
                <w:lang w:val="en-US" w:eastAsia="zh-CN"/>
              </w:rPr>
            </w:pPr>
            <w:r>
              <w:rPr>
                <w:rFonts w:hint="eastAsia" w:ascii="宋体" w:hAnsi="宋体" w:cs="宋体"/>
                <w:spacing w:val="13"/>
                <w:sz w:val="18"/>
                <w:szCs w:val="18"/>
                <w:highlight w:val="none"/>
                <w:lang w:val="en-US" w:eastAsia="zh-CN"/>
              </w:rPr>
              <w:t>未经</w:t>
            </w:r>
            <w:r>
              <w:rPr>
                <w:rFonts w:hint="eastAsia" w:ascii="宋体" w:hAnsi="宋体" w:eastAsia="宋体" w:cs="宋体"/>
                <w:spacing w:val="13"/>
                <w:sz w:val="18"/>
                <w:szCs w:val="18"/>
                <w:highlight w:val="none"/>
                <w:lang w:eastAsia="zh-CN"/>
              </w:rPr>
              <w:t>管理部门同意</w:t>
            </w:r>
            <w:r>
              <w:rPr>
                <w:rFonts w:hint="eastAsia" w:ascii="宋体" w:hAnsi="宋体" w:cs="宋体"/>
                <w:spacing w:val="13"/>
                <w:sz w:val="18"/>
                <w:szCs w:val="18"/>
                <w:highlight w:val="none"/>
                <w:lang w:val="en-US" w:eastAsia="zh-CN"/>
              </w:rPr>
              <w:t>，出现使用临时工情况，每人扣5分</w:t>
            </w:r>
          </w:p>
        </w:tc>
        <w:tc>
          <w:tcPr>
            <w:tcW w:w="377" w:type="pct"/>
            <w:noWrap w:val="0"/>
            <w:vAlign w:val="top"/>
          </w:tcPr>
          <w:p w14:paraId="5074238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63A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240847C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2BEEF93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1414BE8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5D804779">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人员年龄、学历等不符合合同要求，每人扣3分；实际人员配置低于合同要求，少1人扣2分</w:t>
            </w:r>
          </w:p>
        </w:tc>
        <w:tc>
          <w:tcPr>
            <w:tcW w:w="377" w:type="pct"/>
            <w:noWrap w:val="0"/>
            <w:vAlign w:val="top"/>
          </w:tcPr>
          <w:p w14:paraId="264FC50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7F3C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1BD17AE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567B70D3">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D6477B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4045C00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未按要求持健康证上岗，每人扣5分；专业技术人员未按要求持证上岗，每人扣5分</w:t>
            </w:r>
          </w:p>
        </w:tc>
        <w:tc>
          <w:tcPr>
            <w:tcW w:w="377" w:type="pct"/>
            <w:noWrap w:val="0"/>
            <w:vAlign w:val="top"/>
          </w:tcPr>
          <w:p w14:paraId="303E040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1F3A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38B0BE4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2D2E3B0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7BA9414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6067E548">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关键岗位人员未经政审或管理部门同意上岗，每人扣5分</w:t>
            </w:r>
          </w:p>
        </w:tc>
        <w:tc>
          <w:tcPr>
            <w:tcW w:w="377" w:type="pct"/>
            <w:noWrap w:val="0"/>
            <w:vAlign w:val="top"/>
          </w:tcPr>
          <w:p w14:paraId="69F60B5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7CCD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4CED4F5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2D9470B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695A491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40A1E394">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关键岗位人员调整未经管理部门同意，每人扣5分</w:t>
            </w:r>
          </w:p>
        </w:tc>
        <w:tc>
          <w:tcPr>
            <w:tcW w:w="377" w:type="pct"/>
            <w:noWrap w:val="0"/>
            <w:vAlign w:val="top"/>
          </w:tcPr>
          <w:p w14:paraId="60DF66A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E1B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0E96582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0B0A79D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5C1B1CC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40744D2A">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不按规定开展员工教育培训，每次扣2分</w:t>
            </w:r>
          </w:p>
        </w:tc>
        <w:tc>
          <w:tcPr>
            <w:tcW w:w="377" w:type="pct"/>
            <w:noWrap w:val="0"/>
            <w:vAlign w:val="top"/>
          </w:tcPr>
          <w:p w14:paraId="503881C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2595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6919FD2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1C04ED3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6A5F85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51796A6A">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员工队伍稳定性差，单月离职人数超过5%，每人扣5分</w:t>
            </w:r>
          </w:p>
        </w:tc>
        <w:tc>
          <w:tcPr>
            <w:tcW w:w="377" w:type="pct"/>
            <w:noWrap w:val="0"/>
            <w:vAlign w:val="top"/>
          </w:tcPr>
          <w:p w14:paraId="34B4A8A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5227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center"/>
          </w:tcPr>
          <w:p w14:paraId="5B639C2D">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1172" w:type="pct"/>
            <w:vMerge w:val="continue"/>
            <w:noWrap w:val="0"/>
            <w:vAlign w:val="center"/>
          </w:tcPr>
          <w:p w14:paraId="7BCA238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7F59E5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6BE717E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不服从管理部门管理，每发现一次扣5分</w:t>
            </w:r>
          </w:p>
        </w:tc>
        <w:tc>
          <w:tcPr>
            <w:tcW w:w="377" w:type="pct"/>
            <w:noWrap w:val="0"/>
            <w:vAlign w:val="top"/>
          </w:tcPr>
          <w:p w14:paraId="2A69BD9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7E20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restart"/>
            <w:noWrap w:val="0"/>
            <w:vAlign w:val="center"/>
          </w:tcPr>
          <w:p w14:paraId="0EBC58D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4</w:t>
            </w:r>
          </w:p>
        </w:tc>
        <w:tc>
          <w:tcPr>
            <w:tcW w:w="1172" w:type="pct"/>
            <w:vMerge w:val="restart"/>
            <w:noWrap w:val="0"/>
            <w:vAlign w:val="center"/>
          </w:tcPr>
          <w:p w14:paraId="5134A52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sz w:val="18"/>
                <w:szCs w:val="18"/>
                <w:highlight w:val="none"/>
              </w:rPr>
              <w:t>台账资料档案管理</w:t>
            </w:r>
          </w:p>
        </w:tc>
        <w:tc>
          <w:tcPr>
            <w:tcW w:w="282" w:type="pct"/>
            <w:vMerge w:val="continue"/>
            <w:noWrap w:val="0"/>
            <w:vAlign w:val="center"/>
          </w:tcPr>
          <w:p w14:paraId="29ABB24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rPr>
            </w:pPr>
          </w:p>
        </w:tc>
        <w:tc>
          <w:tcPr>
            <w:tcW w:w="2858" w:type="pct"/>
            <w:noWrap w:val="0"/>
            <w:vAlign w:val="center"/>
          </w:tcPr>
          <w:p w14:paraId="336F64BC">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无日常巡查检查台账记录或管理不规范，扣1分</w:t>
            </w:r>
          </w:p>
        </w:tc>
        <w:tc>
          <w:tcPr>
            <w:tcW w:w="377" w:type="pct"/>
            <w:noWrap w:val="0"/>
            <w:vAlign w:val="top"/>
          </w:tcPr>
          <w:p w14:paraId="1FC45B2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0D4E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0F9F203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4A4C2E6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C5207B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2F649A7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无食品留样台账记录或管理不规范，扣1分</w:t>
            </w:r>
          </w:p>
        </w:tc>
        <w:tc>
          <w:tcPr>
            <w:tcW w:w="377" w:type="pct"/>
            <w:noWrap w:val="0"/>
            <w:vAlign w:val="top"/>
          </w:tcPr>
          <w:p w14:paraId="4F926BB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605D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4CE94FA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6CAC8C3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477323C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4F9421B3">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未按规定实行员工薪酬备案，每次扣1分</w:t>
            </w:r>
          </w:p>
        </w:tc>
        <w:tc>
          <w:tcPr>
            <w:tcW w:w="377" w:type="pct"/>
            <w:noWrap w:val="0"/>
            <w:vAlign w:val="top"/>
          </w:tcPr>
          <w:p w14:paraId="1C0780E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4979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6845E6D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58D0E03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4818AD6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7942EB0A">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无问题反馈处理台账记录或管理不规范，扣1分</w:t>
            </w:r>
          </w:p>
        </w:tc>
        <w:tc>
          <w:tcPr>
            <w:tcW w:w="377" w:type="pct"/>
            <w:noWrap w:val="0"/>
            <w:vAlign w:val="top"/>
          </w:tcPr>
          <w:p w14:paraId="7838AAE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3C26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3B16FD1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4889E12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529756E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70FF17FE">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无员工教育培训台账记录或管理不规范，扣1分</w:t>
            </w:r>
          </w:p>
        </w:tc>
        <w:tc>
          <w:tcPr>
            <w:tcW w:w="377" w:type="pct"/>
            <w:noWrap w:val="0"/>
            <w:vAlign w:val="top"/>
          </w:tcPr>
          <w:p w14:paraId="44B411A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2A16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4E0D60D5">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2732D20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0299331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77ADE554">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无内部管理监督考核台账资料或管理不规范，扣1分</w:t>
            </w:r>
          </w:p>
        </w:tc>
        <w:tc>
          <w:tcPr>
            <w:tcW w:w="377" w:type="pct"/>
            <w:noWrap w:val="0"/>
            <w:vAlign w:val="top"/>
          </w:tcPr>
          <w:p w14:paraId="233EBED2">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0A33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vMerge w:val="continue"/>
            <w:noWrap w:val="0"/>
            <w:vAlign w:val="top"/>
          </w:tcPr>
          <w:p w14:paraId="640BC91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1172" w:type="pct"/>
            <w:vMerge w:val="continue"/>
            <w:noWrap w:val="0"/>
            <w:vAlign w:val="top"/>
          </w:tcPr>
          <w:p w14:paraId="5A77F7D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c>
          <w:tcPr>
            <w:tcW w:w="282" w:type="pct"/>
            <w:vMerge w:val="continue"/>
            <w:noWrap w:val="0"/>
            <w:vAlign w:val="center"/>
          </w:tcPr>
          <w:p w14:paraId="21610BB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1"/>
                <w:sz w:val="18"/>
                <w:szCs w:val="18"/>
                <w:highlight w:val="none"/>
                <w:lang w:eastAsia="zh-CN"/>
              </w:rPr>
            </w:pPr>
          </w:p>
        </w:tc>
        <w:tc>
          <w:tcPr>
            <w:tcW w:w="2858" w:type="pct"/>
            <w:noWrap w:val="0"/>
            <w:vAlign w:val="center"/>
          </w:tcPr>
          <w:p w14:paraId="769D007F">
            <w:pPr>
              <w:keepNext w:val="0"/>
              <w:keepLines w:val="0"/>
              <w:widowControl/>
              <w:suppressLineNumbers w:val="0"/>
              <w:kinsoku w:val="0"/>
              <w:autoSpaceDE w:val="0"/>
              <w:autoSpaceDN w:val="0"/>
              <w:adjustRightInd w:val="0"/>
              <w:snapToGrid w:val="0"/>
              <w:spacing w:before="0" w:beforeAutospacing="0" w:after="0" w:afterAutospacing="0" w:line="240" w:lineRule="auto"/>
              <w:ind w:left="105" w:leftChars="50" w:right="105" w:rightChars="50"/>
              <w:jc w:val="both"/>
              <w:textAlignment w:val="baseline"/>
              <w:rPr>
                <w:rFonts w:hint="eastAsia" w:ascii="宋体" w:hAnsi="宋体" w:eastAsia="宋体" w:cs="宋体"/>
                <w:spacing w:val="13"/>
                <w:sz w:val="18"/>
                <w:szCs w:val="18"/>
                <w:highlight w:val="none"/>
                <w:lang w:eastAsia="zh-CN"/>
              </w:rPr>
            </w:pPr>
            <w:r>
              <w:rPr>
                <w:rFonts w:hint="eastAsia" w:ascii="宋体" w:hAnsi="宋体" w:eastAsia="宋体" w:cs="宋体"/>
                <w:spacing w:val="13"/>
                <w:sz w:val="18"/>
                <w:szCs w:val="18"/>
                <w:highlight w:val="none"/>
                <w:lang w:eastAsia="zh-CN"/>
              </w:rPr>
              <w:t>无员工信息档案资料，每少一人扣2分；档案资料管理不规范，扣1分</w:t>
            </w:r>
          </w:p>
        </w:tc>
        <w:tc>
          <w:tcPr>
            <w:tcW w:w="377" w:type="pct"/>
            <w:noWrap w:val="0"/>
            <w:vAlign w:val="top"/>
          </w:tcPr>
          <w:p w14:paraId="0857CA81">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textAlignment w:val="baseline"/>
              <w:rPr>
                <w:rFonts w:hint="eastAsia" w:ascii="宋体" w:hAnsi="宋体" w:eastAsia="宋体" w:cs="宋体"/>
                <w:sz w:val="18"/>
                <w:szCs w:val="18"/>
                <w:highlight w:val="none"/>
                <w:lang w:eastAsia="zh-CN"/>
              </w:rPr>
            </w:pPr>
          </w:p>
        </w:tc>
      </w:tr>
      <w:tr w14:paraId="07C5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622" w:type="pct"/>
            <w:gridSpan w:val="4"/>
            <w:noWrap w:val="0"/>
            <w:vAlign w:val="center"/>
          </w:tcPr>
          <w:p w14:paraId="5D08BD0C">
            <w:pPr>
              <w:keepNext w:val="0"/>
              <w:keepLines w:val="0"/>
              <w:widowControl/>
              <w:suppressLineNumbers w:val="0"/>
              <w:kinsoku w:val="0"/>
              <w:autoSpaceDE w:val="0"/>
              <w:autoSpaceDN w:val="0"/>
              <w:adjustRightInd w:val="0"/>
              <w:snapToGrid w:val="0"/>
              <w:spacing w:before="0" w:beforeAutospacing="0" w:after="0" w:afterAutospacing="0" w:line="240" w:lineRule="auto"/>
              <w:ind w:left="289" w:right="105" w:rightChars="50" w:hanging="6"/>
              <w:jc w:val="center"/>
              <w:textAlignment w:val="baseline"/>
              <w:rPr>
                <w:rFonts w:hint="eastAsia" w:ascii="宋体" w:hAnsi="宋体" w:eastAsia="宋体" w:cs="宋体"/>
                <w:b/>
                <w:bCs/>
                <w:spacing w:val="4"/>
                <w:sz w:val="18"/>
                <w:szCs w:val="18"/>
                <w:highlight w:val="none"/>
              </w:rPr>
            </w:pPr>
            <w:r>
              <w:rPr>
                <w:rFonts w:hint="eastAsia" w:ascii="宋体" w:hAnsi="宋体" w:eastAsia="宋体" w:cs="宋体"/>
                <w:b/>
                <w:bCs/>
                <w:spacing w:val="4"/>
                <w:sz w:val="18"/>
                <w:szCs w:val="18"/>
                <w:highlight w:val="none"/>
              </w:rPr>
              <w:t>合计扣分</w:t>
            </w:r>
          </w:p>
        </w:tc>
        <w:tc>
          <w:tcPr>
            <w:tcW w:w="377" w:type="pct"/>
            <w:noWrap w:val="0"/>
            <w:vAlign w:val="center"/>
          </w:tcPr>
          <w:p w14:paraId="4A460D9C">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r>
      <w:tr w14:paraId="4E87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622" w:type="pct"/>
            <w:gridSpan w:val="4"/>
            <w:noWrap w:val="0"/>
            <w:vAlign w:val="center"/>
          </w:tcPr>
          <w:p w14:paraId="11D0819B">
            <w:pPr>
              <w:keepNext w:val="0"/>
              <w:keepLines w:val="0"/>
              <w:widowControl/>
              <w:suppressLineNumbers w:val="0"/>
              <w:kinsoku w:val="0"/>
              <w:autoSpaceDE w:val="0"/>
              <w:autoSpaceDN w:val="0"/>
              <w:adjustRightInd w:val="0"/>
              <w:snapToGrid w:val="0"/>
              <w:spacing w:before="0" w:beforeAutospacing="0" w:after="0" w:afterAutospacing="0" w:line="240" w:lineRule="auto"/>
              <w:ind w:left="289" w:right="105" w:rightChars="50" w:hanging="6"/>
              <w:jc w:val="center"/>
              <w:textAlignment w:val="baseline"/>
              <w:rPr>
                <w:rFonts w:hint="default" w:ascii="宋体" w:hAnsi="宋体" w:eastAsia="宋体" w:cs="宋体"/>
                <w:b/>
                <w:bCs/>
                <w:spacing w:val="4"/>
                <w:sz w:val="18"/>
                <w:szCs w:val="18"/>
                <w:highlight w:val="none"/>
                <w:lang w:val="en-US" w:eastAsia="zh-CN"/>
              </w:rPr>
            </w:pPr>
            <w:r>
              <w:rPr>
                <w:rFonts w:hint="eastAsia" w:ascii="宋体" w:hAnsi="宋体" w:eastAsia="宋体" w:cs="宋体"/>
                <w:b/>
                <w:bCs/>
                <w:spacing w:val="4"/>
                <w:sz w:val="18"/>
                <w:szCs w:val="18"/>
                <w:highlight w:val="none"/>
              </w:rPr>
              <w:t>合计得分(100分制)</w:t>
            </w:r>
            <w:r>
              <w:rPr>
                <w:rFonts w:hint="eastAsia" w:ascii="宋体" w:hAnsi="宋体" w:eastAsia="宋体" w:cs="宋体"/>
                <w:b/>
                <w:bCs/>
                <w:spacing w:val="4"/>
                <w:sz w:val="18"/>
                <w:szCs w:val="18"/>
                <w:highlight w:val="none"/>
                <w:lang w:val="en-US" w:eastAsia="zh-CN"/>
              </w:rPr>
              <w:t>=100-合计扣分</w:t>
            </w:r>
          </w:p>
        </w:tc>
        <w:tc>
          <w:tcPr>
            <w:tcW w:w="377" w:type="pct"/>
            <w:noWrap w:val="0"/>
            <w:vAlign w:val="center"/>
          </w:tcPr>
          <w:p w14:paraId="7CBD8924">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r>
      <w:tr w14:paraId="10E9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8" w:type="pct"/>
            <w:noWrap w:val="0"/>
            <w:textDirection w:val="tbRlV"/>
            <w:vAlign w:val="center"/>
          </w:tcPr>
          <w:p w14:paraId="06CE6D2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r>
              <w:rPr>
                <w:rFonts w:hint="eastAsia" w:ascii="宋体" w:hAnsi="宋体" w:eastAsia="宋体" w:cs="宋体"/>
                <w:b/>
                <w:bCs/>
                <w:spacing w:val="4"/>
                <w:sz w:val="18"/>
                <w:szCs w:val="18"/>
                <w:highlight w:val="none"/>
              </w:rPr>
              <w:t>问题汇总</w:t>
            </w:r>
          </w:p>
        </w:tc>
        <w:tc>
          <w:tcPr>
            <w:tcW w:w="1172" w:type="pct"/>
            <w:noWrap w:val="0"/>
            <w:vAlign w:val="center"/>
          </w:tcPr>
          <w:p w14:paraId="66AC379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c>
          <w:tcPr>
            <w:tcW w:w="3519" w:type="pct"/>
            <w:gridSpan w:val="3"/>
            <w:noWrap w:val="0"/>
            <w:vAlign w:val="center"/>
          </w:tcPr>
          <w:p w14:paraId="2529626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18"/>
                <w:szCs w:val="18"/>
                <w:highlight w:val="none"/>
              </w:rPr>
            </w:pPr>
          </w:p>
        </w:tc>
      </w:tr>
    </w:tbl>
    <w:p w14:paraId="7683257C">
      <w:pPr>
        <w:rPr>
          <w:rFonts w:hint="eastAsia" w:ascii="宋体" w:hAnsi="宋体" w:eastAsia="宋体" w:cs="宋体"/>
          <w:b/>
          <w:color w:val="auto"/>
          <w:sz w:val="32"/>
          <w:szCs w:val="32"/>
          <w:highlight w:val="none"/>
        </w:rPr>
      </w:pPr>
    </w:p>
    <w:p w14:paraId="16F3E990">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0DE38F8">
      <w:pPr>
        <w:keepNext w:val="0"/>
        <w:keepLines w:val="0"/>
        <w:pageBreakBefore w:val="0"/>
        <w:widowControl w:val="0"/>
        <w:kinsoku/>
        <w:wordWrap/>
        <w:overflowPunct/>
        <w:topLinePunct/>
        <w:autoSpaceDE/>
        <w:autoSpaceDN/>
        <w:bidi w:val="0"/>
        <w:adjustRightInd w:val="0"/>
        <w:snapToGrid w:val="0"/>
        <w:jc w:val="center"/>
        <w:outlineLvl w:val="0"/>
        <w:rPr>
          <w:rFonts w:hint="eastAsia" w:ascii="宋体" w:hAnsi="宋体" w:eastAsia="宋体" w:cs="宋体"/>
          <w:b/>
          <w:color w:val="auto"/>
          <w:sz w:val="32"/>
          <w:szCs w:val="32"/>
          <w:highlight w:val="none"/>
        </w:rPr>
      </w:pPr>
      <w:bookmarkStart w:id="8" w:name="_Toc1387"/>
      <w:r>
        <w:rPr>
          <w:rFonts w:hint="eastAsia" w:ascii="宋体" w:hAnsi="宋体" w:eastAsia="宋体" w:cs="宋体"/>
          <w:b/>
          <w:color w:val="auto"/>
          <w:sz w:val="32"/>
          <w:szCs w:val="32"/>
          <w:highlight w:val="none"/>
        </w:rPr>
        <w:t>第七章</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投标文件格式</w:t>
      </w:r>
      <w:bookmarkEnd w:id="8"/>
    </w:p>
    <w:p w14:paraId="57E70E33">
      <w:pPr>
        <w:keepNext w:val="0"/>
        <w:keepLines w:val="0"/>
        <w:pageBreakBefore w:val="0"/>
        <w:widowControl w:val="0"/>
        <w:shd w:val="clear"/>
        <w:tabs>
          <w:tab w:val="left" w:pos="900"/>
          <w:tab w:val="left" w:pos="1980"/>
        </w:tabs>
        <w:kinsoku/>
        <w:wordWrap/>
        <w:overflowPunct/>
        <w:topLinePunct/>
        <w:autoSpaceDE/>
        <w:autoSpaceDN/>
        <w:bidi w:val="0"/>
        <w:adjustRightInd w:val="0"/>
        <w:snapToGrid w:val="0"/>
        <w:spacing w:line="360" w:lineRule="auto"/>
        <w:ind w:left="142"/>
        <w:outlineLvl w:val="9"/>
        <w:rPr>
          <w:rFonts w:hint="eastAsia" w:ascii="宋体" w:hAnsi="宋体" w:eastAsia="宋体" w:cs="宋体"/>
          <w:b/>
          <w:color w:val="auto"/>
          <w:sz w:val="24"/>
          <w:highlight w:val="none"/>
        </w:rPr>
      </w:pPr>
    </w:p>
    <w:p w14:paraId="2207BF84">
      <w:pPr>
        <w:keepNext w:val="0"/>
        <w:keepLines w:val="0"/>
        <w:pageBreakBefore w:val="0"/>
        <w:widowControl w:val="0"/>
        <w:shd w:val="clear"/>
        <w:tabs>
          <w:tab w:val="left" w:pos="900"/>
          <w:tab w:val="left" w:pos="1980"/>
        </w:tabs>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投标人编制文件须知</w:t>
      </w:r>
    </w:p>
    <w:p w14:paraId="790CAE31">
      <w:pPr>
        <w:keepNext w:val="0"/>
        <w:keepLines w:val="0"/>
        <w:pageBreakBefore w:val="0"/>
        <w:widowControl w:val="0"/>
        <w:shd w:val="clear"/>
        <w:tabs>
          <w:tab w:val="left" w:pos="900"/>
          <w:tab w:val="left" w:pos="1980"/>
        </w:tabs>
        <w:kinsoku/>
        <w:wordWrap/>
        <w:overflowPunct/>
        <w:topLinePunct/>
        <w:autoSpaceDE/>
        <w:autoSpaceDN/>
        <w:bidi w:val="0"/>
        <w:adjustRightInd w:val="0"/>
        <w:snapToGrid w:val="0"/>
        <w:spacing w:line="480" w:lineRule="auto"/>
        <w:ind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投标人按照本部分的顺序编制投标文件（资格证明文件）、投标文件（商务技术文件），编制中涉及格式资料的，应按照本部分提供的内容和格式（所有表格的格式可扩展）填写提交。</w:t>
      </w:r>
    </w:p>
    <w:p w14:paraId="76305C56">
      <w:pPr>
        <w:keepNext w:val="0"/>
        <w:keepLines w:val="0"/>
        <w:pageBreakBefore w:val="0"/>
        <w:widowControl w:val="0"/>
        <w:shd w:val="clear"/>
        <w:tabs>
          <w:tab w:val="left" w:pos="900"/>
          <w:tab w:val="left" w:pos="1980"/>
        </w:tabs>
        <w:kinsoku/>
        <w:wordWrap/>
        <w:overflowPunct/>
        <w:topLinePunct/>
        <w:autoSpaceDE/>
        <w:autoSpaceDN/>
        <w:bidi w:val="0"/>
        <w:adjustRightInd w:val="0"/>
        <w:snapToGrid w:val="0"/>
        <w:spacing w:line="480" w:lineRule="auto"/>
        <w:ind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eastAsia="宋体" w:cs="宋体"/>
          <w:b/>
          <w:bCs/>
          <w:color w:val="auto"/>
          <w:kern w:val="0"/>
          <w:sz w:val="21"/>
          <w:szCs w:val="21"/>
          <w:highlight w:val="none"/>
        </w:rPr>
        <w:t>投标无效</w:t>
      </w:r>
      <w:r>
        <w:rPr>
          <w:rFonts w:hint="eastAsia" w:ascii="宋体" w:hAnsi="宋体" w:eastAsia="宋体" w:cs="宋体"/>
          <w:color w:val="auto"/>
          <w:kern w:val="0"/>
          <w:sz w:val="21"/>
          <w:szCs w:val="21"/>
          <w:highlight w:val="none"/>
        </w:rPr>
        <w:t>。未标记“实质性格式”的文件和招标文件未提供格式的内容，可由投标人自行编写。</w:t>
      </w:r>
    </w:p>
    <w:p w14:paraId="20E7A163">
      <w:pPr>
        <w:keepNext w:val="0"/>
        <w:keepLines w:val="0"/>
        <w:pageBreakBefore w:val="0"/>
        <w:widowControl w:val="0"/>
        <w:shd w:val="clear"/>
        <w:tabs>
          <w:tab w:val="left" w:pos="900"/>
          <w:tab w:val="left" w:pos="1980"/>
        </w:tabs>
        <w:kinsoku/>
        <w:wordWrap/>
        <w:overflowPunct/>
        <w:topLinePunct/>
        <w:autoSpaceDE/>
        <w:autoSpaceDN/>
        <w:bidi w:val="0"/>
        <w:adjustRightInd w:val="0"/>
        <w:snapToGrid w:val="0"/>
        <w:spacing w:line="480" w:lineRule="auto"/>
        <w:ind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全部声明和问题的回答及所附材料必须是真实的、准确的和完整的。</w:t>
      </w:r>
    </w:p>
    <w:p w14:paraId="2CD42115">
      <w:pPr>
        <w:keepNext w:val="0"/>
        <w:keepLines w:val="0"/>
        <w:pageBreakBefore w:val="0"/>
        <w:widowControl w:val="0"/>
        <w:shd w:val="clear"/>
        <w:tabs>
          <w:tab w:val="left" w:pos="900"/>
          <w:tab w:val="left" w:pos="1980"/>
        </w:tabs>
        <w:kinsoku/>
        <w:wordWrap/>
        <w:overflowPunct/>
        <w:topLinePunct/>
        <w:autoSpaceDE/>
        <w:autoSpaceDN/>
        <w:bidi w:val="0"/>
        <w:adjustRightInd w:val="0"/>
        <w:snapToGrid w:val="0"/>
        <w:spacing w:line="480" w:lineRule="auto"/>
        <w:ind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实行电子化不见面交易方式的，加盖公章、签名等均通过投标文件编制工具加盖电子公章、签字、签章或印鉴。</w:t>
      </w:r>
    </w:p>
    <w:p w14:paraId="7B454261">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color w:val="auto"/>
          <w:spacing w:val="20"/>
          <w:sz w:val="24"/>
          <w:highlight w:val="none"/>
        </w:rPr>
      </w:pPr>
      <w:r>
        <w:rPr>
          <w:rFonts w:hint="eastAsia" w:ascii="宋体" w:hAnsi="宋体" w:eastAsia="宋体" w:cs="宋体"/>
          <w:b/>
          <w:color w:val="auto"/>
          <w:spacing w:val="20"/>
          <w:sz w:val="24"/>
          <w:highlight w:val="none"/>
        </w:rPr>
        <w:br w:type="page"/>
      </w:r>
    </w:p>
    <w:p w14:paraId="10371959">
      <w:pPr>
        <w:keepNext w:val="0"/>
        <w:keepLines w:val="0"/>
        <w:pageBreakBefore w:val="0"/>
        <w:widowControl w:val="0"/>
        <w:shd w:val="clear"/>
        <w:kinsoku/>
        <w:wordWrap/>
        <w:overflowPunct/>
        <w:topLinePunct/>
        <w:autoSpaceDE/>
        <w:autoSpaceDN/>
        <w:bidi w:val="0"/>
        <w:adjustRightInd w:val="0"/>
        <w:snapToGrid w:val="0"/>
        <w:outlineLvl w:val="9"/>
        <w:rPr>
          <w:rFonts w:hint="eastAsia" w:ascii="宋体" w:hAnsi="宋体" w:eastAsia="宋体" w:cs="宋体"/>
          <w:b/>
          <w:color w:val="auto"/>
          <w:sz w:val="24"/>
          <w:highlight w:val="none"/>
        </w:rPr>
      </w:pPr>
      <w:r>
        <w:rPr>
          <w:rFonts w:hint="eastAsia" w:ascii="宋体" w:hAnsi="宋体" w:eastAsia="宋体" w:cs="宋体"/>
          <w:b/>
          <w:color w:val="auto"/>
          <w:spacing w:val="20"/>
          <w:sz w:val="24"/>
          <w:highlight w:val="none"/>
        </w:rPr>
        <w:t>投标文件</w:t>
      </w:r>
      <w:r>
        <w:rPr>
          <w:rFonts w:hint="eastAsia" w:ascii="宋体" w:hAnsi="宋体" w:eastAsia="宋体" w:cs="宋体"/>
          <w:b/>
          <w:color w:val="auto"/>
          <w:sz w:val="24"/>
          <w:highlight w:val="none"/>
        </w:rPr>
        <w:t>封面（非实质性格式）</w:t>
      </w:r>
    </w:p>
    <w:p w14:paraId="23BC2941">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color w:val="auto"/>
          <w:szCs w:val="21"/>
          <w:highlight w:val="none"/>
        </w:rPr>
      </w:pPr>
    </w:p>
    <w:p w14:paraId="30D5D1F7">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b/>
          <w:color w:val="auto"/>
          <w:spacing w:val="60"/>
          <w:sz w:val="84"/>
          <w:szCs w:val="84"/>
          <w:highlight w:val="none"/>
        </w:rPr>
      </w:pPr>
    </w:p>
    <w:p w14:paraId="65410279">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b/>
          <w:color w:val="auto"/>
          <w:spacing w:val="60"/>
          <w:sz w:val="72"/>
          <w:szCs w:val="72"/>
          <w:highlight w:val="none"/>
        </w:rPr>
      </w:pPr>
    </w:p>
    <w:p w14:paraId="0DFEFA1B">
      <w:pPr>
        <w:keepNext w:val="0"/>
        <w:keepLines w:val="0"/>
        <w:pageBreakBefore w:val="0"/>
        <w:widowControl w:val="0"/>
        <w:shd w:val="clear"/>
        <w:kinsoku/>
        <w:wordWrap/>
        <w:overflowPunct/>
        <w:topLinePunct/>
        <w:autoSpaceDE/>
        <w:autoSpaceDN/>
        <w:bidi w:val="0"/>
        <w:adjustRightInd w:val="0"/>
        <w:snapToGrid w:val="0"/>
        <w:jc w:val="center"/>
        <w:outlineLvl w:val="9"/>
        <w:rPr>
          <w:rFonts w:hint="eastAsia" w:ascii="宋体" w:hAnsi="宋体" w:eastAsia="宋体" w:cs="宋体"/>
          <w:b/>
          <w:color w:val="auto"/>
          <w:spacing w:val="60"/>
          <w:sz w:val="72"/>
          <w:szCs w:val="72"/>
          <w:highlight w:val="none"/>
        </w:rPr>
      </w:pPr>
      <w:r>
        <w:rPr>
          <w:rFonts w:hint="eastAsia" w:ascii="宋体" w:hAnsi="宋体" w:eastAsia="宋体" w:cs="宋体"/>
          <w:b/>
          <w:color w:val="auto"/>
          <w:spacing w:val="60"/>
          <w:sz w:val="72"/>
          <w:szCs w:val="72"/>
          <w:highlight w:val="none"/>
        </w:rPr>
        <w:t>投 标 文 件</w:t>
      </w:r>
    </w:p>
    <w:p w14:paraId="4252DC8A">
      <w:pPr>
        <w:keepNext w:val="0"/>
        <w:keepLines w:val="0"/>
        <w:pageBreakBefore w:val="0"/>
        <w:widowControl w:val="0"/>
        <w:shd w:val="clear"/>
        <w:kinsoku/>
        <w:wordWrap/>
        <w:overflowPunct/>
        <w:topLinePunct/>
        <w:autoSpaceDE/>
        <w:autoSpaceDN/>
        <w:bidi w:val="0"/>
        <w:adjustRightInd w:val="0"/>
        <w:snapToGrid w:val="0"/>
        <w:ind w:firstLine="963" w:firstLineChars="150"/>
        <w:outlineLvl w:val="9"/>
        <w:rPr>
          <w:rFonts w:hint="eastAsia" w:ascii="宋体" w:hAnsi="宋体" w:eastAsia="宋体" w:cs="宋体"/>
          <w:b/>
          <w:color w:val="auto"/>
          <w:spacing w:val="60"/>
          <w:sz w:val="52"/>
          <w:szCs w:val="52"/>
          <w:highlight w:val="none"/>
        </w:rPr>
      </w:pPr>
    </w:p>
    <w:p w14:paraId="51CA6285">
      <w:pPr>
        <w:keepNext w:val="0"/>
        <w:keepLines w:val="0"/>
        <w:pageBreakBefore w:val="0"/>
        <w:widowControl w:val="0"/>
        <w:shd w:val="clear"/>
        <w:kinsoku/>
        <w:wordWrap/>
        <w:overflowPunct/>
        <w:topLinePunct/>
        <w:autoSpaceDE/>
        <w:autoSpaceDN/>
        <w:bidi w:val="0"/>
        <w:adjustRightInd w:val="0"/>
        <w:snapToGrid w:val="0"/>
        <w:ind w:firstLine="963" w:firstLineChars="150"/>
        <w:outlineLvl w:val="9"/>
        <w:rPr>
          <w:rFonts w:hint="eastAsia" w:ascii="宋体" w:hAnsi="宋体" w:eastAsia="宋体" w:cs="宋体"/>
          <w:b/>
          <w:color w:val="auto"/>
          <w:spacing w:val="60"/>
          <w:sz w:val="52"/>
          <w:szCs w:val="52"/>
          <w:highlight w:val="none"/>
        </w:rPr>
      </w:pPr>
    </w:p>
    <w:p w14:paraId="085933FE">
      <w:pPr>
        <w:keepNext w:val="0"/>
        <w:keepLines w:val="0"/>
        <w:pageBreakBefore w:val="0"/>
        <w:widowControl w:val="0"/>
        <w:shd w:val="clear"/>
        <w:kinsoku/>
        <w:wordWrap/>
        <w:overflowPunct/>
        <w:topLinePunct/>
        <w:autoSpaceDE/>
        <w:autoSpaceDN/>
        <w:bidi w:val="0"/>
        <w:adjustRightInd w:val="0"/>
        <w:snapToGrid w:val="0"/>
        <w:ind w:firstLine="542" w:firstLineChars="150"/>
        <w:outlineLvl w:val="9"/>
        <w:rPr>
          <w:rFonts w:hint="eastAsia" w:ascii="宋体" w:hAnsi="宋体" w:eastAsia="宋体" w:cs="宋体"/>
          <w:b/>
          <w:color w:val="auto"/>
          <w:spacing w:val="20"/>
          <w:sz w:val="32"/>
          <w:szCs w:val="32"/>
          <w:highlight w:val="none"/>
        </w:rPr>
      </w:pPr>
    </w:p>
    <w:p w14:paraId="616C018E">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color w:val="auto"/>
          <w:sz w:val="36"/>
          <w:highlight w:val="none"/>
        </w:rPr>
      </w:pPr>
    </w:p>
    <w:p w14:paraId="6B617FE8">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color w:val="auto"/>
          <w:sz w:val="36"/>
          <w:highlight w:val="none"/>
        </w:rPr>
      </w:pPr>
    </w:p>
    <w:p w14:paraId="329FBDBD">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color w:val="auto"/>
          <w:sz w:val="36"/>
          <w:highlight w:val="none"/>
        </w:rPr>
      </w:pPr>
    </w:p>
    <w:p w14:paraId="22A00145">
      <w:pPr>
        <w:keepNext w:val="0"/>
        <w:keepLines w:val="0"/>
        <w:pageBreakBefore w:val="0"/>
        <w:widowControl w:val="0"/>
        <w:shd w:val="clear"/>
        <w:kinsoku/>
        <w:wordWrap/>
        <w:overflowPunct/>
        <w:topLinePunct/>
        <w:autoSpaceDE/>
        <w:autoSpaceDN/>
        <w:bidi w:val="0"/>
        <w:adjustRightInd w:val="0"/>
        <w:snapToGrid w:val="0"/>
        <w:spacing w:line="360" w:lineRule="auto"/>
        <w:ind w:firstLine="723" w:firstLineChars="200"/>
        <w:jc w:val="left"/>
        <w:textAlignment w:val="auto"/>
        <w:outlineLvl w:val="9"/>
        <w:rPr>
          <w:rFonts w:hint="eastAsia" w:ascii="宋体" w:hAnsi="宋体" w:eastAsia="宋体" w:cs="宋体"/>
          <w:b/>
          <w:color w:val="auto"/>
          <w:sz w:val="36"/>
          <w:highlight w:val="none"/>
          <w:u w:val="single"/>
        </w:rPr>
      </w:pPr>
      <w:r>
        <w:rPr>
          <w:rFonts w:hint="eastAsia" w:ascii="宋体" w:hAnsi="宋体" w:eastAsia="宋体" w:cs="宋体"/>
          <w:b/>
          <w:color w:val="auto"/>
          <w:sz w:val="36"/>
          <w:highlight w:val="none"/>
        </w:rPr>
        <w:t>项 目 编 号：</w:t>
      </w:r>
      <w:r>
        <w:rPr>
          <w:rFonts w:hint="eastAsia" w:ascii="宋体" w:hAnsi="宋体" w:eastAsia="宋体" w:cs="宋体"/>
          <w:b/>
          <w:color w:val="auto"/>
          <w:sz w:val="36"/>
          <w:highlight w:val="none"/>
          <w:u w:val="single"/>
        </w:rPr>
        <w:t xml:space="preserve">            </w:t>
      </w:r>
      <w:r>
        <w:rPr>
          <w:rFonts w:hint="eastAsia" w:ascii="宋体" w:hAnsi="宋体" w:cs="宋体"/>
          <w:b/>
          <w:color w:val="auto"/>
          <w:sz w:val="36"/>
          <w:highlight w:val="none"/>
          <w:u w:val="single"/>
          <w:lang w:val="en-US" w:eastAsia="zh-CN"/>
        </w:rPr>
        <w:t xml:space="preserve">        </w:t>
      </w:r>
      <w:r>
        <w:rPr>
          <w:rFonts w:hint="eastAsia" w:ascii="宋体" w:hAnsi="宋体" w:eastAsia="宋体" w:cs="宋体"/>
          <w:b/>
          <w:color w:val="auto"/>
          <w:sz w:val="36"/>
          <w:highlight w:val="none"/>
          <w:u w:val="single"/>
        </w:rPr>
        <w:t xml:space="preserve">   </w:t>
      </w:r>
    </w:p>
    <w:p w14:paraId="35899AAC">
      <w:pPr>
        <w:keepNext w:val="0"/>
        <w:keepLines w:val="0"/>
        <w:pageBreakBefore w:val="0"/>
        <w:widowControl w:val="0"/>
        <w:shd w:val="clear"/>
        <w:kinsoku/>
        <w:wordWrap/>
        <w:overflowPunct/>
        <w:topLinePunct/>
        <w:autoSpaceDE/>
        <w:autoSpaceDN/>
        <w:bidi w:val="0"/>
        <w:adjustRightInd w:val="0"/>
        <w:snapToGrid w:val="0"/>
        <w:spacing w:line="360" w:lineRule="auto"/>
        <w:ind w:firstLine="723" w:firstLineChars="200"/>
        <w:jc w:val="left"/>
        <w:textAlignment w:val="auto"/>
        <w:outlineLvl w:val="9"/>
        <w:rPr>
          <w:rFonts w:hint="eastAsia" w:ascii="宋体" w:hAnsi="宋体" w:eastAsia="宋体" w:cs="宋体"/>
          <w:b/>
          <w:color w:val="auto"/>
          <w:sz w:val="36"/>
          <w:highlight w:val="none"/>
        </w:rPr>
      </w:pPr>
      <w:r>
        <w:rPr>
          <w:rFonts w:hint="eastAsia" w:ascii="宋体" w:hAnsi="宋体" w:eastAsia="宋体" w:cs="宋体"/>
          <w:b/>
          <w:color w:val="auto"/>
          <w:sz w:val="36"/>
          <w:highlight w:val="none"/>
        </w:rPr>
        <w:t>项 目 名 称：</w:t>
      </w:r>
      <w:r>
        <w:rPr>
          <w:rFonts w:hint="eastAsia" w:ascii="宋体" w:hAnsi="宋体" w:eastAsia="宋体" w:cs="宋体"/>
          <w:b/>
          <w:color w:val="auto"/>
          <w:sz w:val="36"/>
          <w:highlight w:val="none"/>
          <w:u w:val="single"/>
        </w:rPr>
        <w:t xml:space="preserve">            </w:t>
      </w:r>
      <w:r>
        <w:rPr>
          <w:rFonts w:hint="eastAsia" w:ascii="宋体" w:hAnsi="宋体" w:cs="宋体"/>
          <w:b/>
          <w:color w:val="auto"/>
          <w:sz w:val="36"/>
          <w:highlight w:val="none"/>
          <w:u w:val="single"/>
          <w:lang w:val="en-US" w:eastAsia="zh-CN"/>
        </w:rPr>
        <w:t xml:space="preserve">   </w:t>
      </w:r>
      <w:r>
        <w:rPr>
          <w:rFonts w:hint="eastAsia" w:ascii="宋体" w:hAnsi="宋体" w:eastAsia="宋体" w:cs="宋体"/>
          <w:b/>
          <w:color w:val="auto"/>
          <w:sz w:val="36"/>
          <w:highlight w:val="none"/>
          <w:u w:val="single"/>
        </w:rPr>
        <w:t xml:space="preserve"> </w:t>
      </w:r>
      <w:r>
        <w:rPr>
          <w:rFonts w:hint="eastAsia" w:ascii="宋体" w:hAnsi="宋体" w:cs="宋体"/>
          <w:b/>
          <w:color w:val="auto"/>
          <w:sz w:val="36"/>
          <w:highlight w:val="none"/>
          <w:u w:val="single"/>
          <w:lang w:val="en-US" w:eastAsia="zh-CN"/>
        </w:rPr>
        <w:t xml:space="preserve">     </w:t>
      </w:r>
      <w:r>
        <w:rPr>
          <w:rFonts w:hint="eastAsia" w:ascii="宋体" w:hAnsi="宋体" w:eastAsia="宋体" w:cs="宋体"/>
          <w:b/>
          <w:color w:val="auto"/>
          <w:sz w:val="36"/>
          <w:highlight w:val="none"/>
          <w:u w:val="single"/>
        </w:rPr>
        <w:t xml:space="preserve">  </w:t>
      </w:r>
    </w:p>
    <w:p w14:paraId="60D5D265">
      <w:pPr>
        <w:keepNext w:val="0"/>
        <w:keepLines w:val="0"/>
        <w:pageBreakBefore w:val="0"/>
        <w:widowControl w:val="0"/>
        <w:shd w:val="clear"/>
        <w:kinsoku/>
        <w:wordWrap/>
        <w:overflowPunct/>
        <w:topLinePunct/>
        <w:autoSpaceDE/>
        <w:autoSpaceDN/>
        <w:bidi w:val="0"/>
        <w:adjustRightInd w:val="0"/>
        <w:snapToGrid w:val="0"/>
        <w:spacing w:line="360" w:lineRule="auto"/>
        <w:ind w:left="718" w:leftChars="342" w:firstLine="0" w:firstLineChars="0"/>
        <w:jc w:val="left"/>
        <w:textAlignment w:val="auto"/>
        <w:outlineLvl w:val="9"/>
        <w:rPr>
          <w:rFonts w:hint="default" w:ascii="宋体" w:hAnsi="宋体" w:eastAsia="宋体" w:cs="宋体"/>
          <w:b/>
          <w:color w:val="auto"/>
          <w:sz w:val="36"/>
          <w:highlight w:val="none"/>
          <w:u w:val="single"/>
          <w:lang w:val="en-US" w:eastAsia="zh-CN"/>
        </w:rPr>
      </w:pPr>
      <w:r>
        <w:rPr>
          <w:rFonts w:hint="eastAsia" w:ascii="宋体" w:hAnsi="宋体" w:eastAsia="宋体" w:cs="宋体"/>
          <w:b/>
          <w:color w:val="auto"/>
          <w:sz w:val="36"/>
          <w:highlight w:val="none"/>
        </w:rPr>
        <w:t>投标人名称 ：</w:t>
      </w:r>
      <w:r>
        <w:rPr>
          <w:rFonts w:hint="eastAsia" w:ascii="宋体" w:hAnsi="宋体" w:eastAsia="宋体" w:cs="宋体"/>
          <w:b/>
          <w:color w:val="auto"/>
          <w:sz w:val="36"/>
          <w:highlight w:val="none"/>
          <w:u w:val="single"/>
        </w:rPr>
        <w:t xml:space="preserve">            </w:t>
      </w:r>
      <w:r>
        <w:rPr>
          <w:rFonts w:hint="eastAsia" w:ascii="宋体" w:hAnsi="宋体" w:cs="宋体"/>
          <w:b/>
          <w:color w:val="auto"/>
          <w:sz w:val="36"/>
          <w:highlight w:val="none"/>
          <w:u w:val="single"/>
          <w:lang w:val="en-US" w:eastAsia="zh-CN"/>
        </w:rPr>
        <w:t xml:space="preserve">   </w:t>
      </w:r>
      <w:r>
        <w:rPr>
          <w:rFonts w:hint="eastAsia" w:ascii="宋体" w:hAnsi="宋体" w:eastAsia="宋体" w:cs="宋体"/>
          <w:b/>
          <w:color w:val="auto"/>
          <w:sz w:val="36"/>
          <w:highlight w:val="none"/>
          <w:u w:val="single"/>
        </w:rPr>
        <w:t xml:space="preserve"> </w:t>
      </w:r>
      <w:r>
        <w:rPr>
          <w:rFonts w:hint="eastAsia" w:ascii="宋体" w:hAnsi="宋体" w:cs="宋体"/>
          <w:b/>
          <w:color w:val="auto"/>
          <w:sz w:val="36"/>
          <w:highlight w:val="none"/>
          <w:u w:val="single"/>
          <w:lang w:val="en-US" w:eastAsia="zh-CN"/>
        </w:rPr>
        <w:t xml:space="preserve">     </w:t>
      </w:r>
      <w:r>
        <w:rPr>
          <w:rFonts w:hint="eastAsia" w:ascii="宋体" w:hAnsi="宋体" w:eastAsia="宋体" w:cs="宋体"/>
          <w:b/>
          <w:color w:val="auto"/>
          <w:sz w:val="36"/>
          <w:highlight w:val="none"/>
          <w:u w:val="single"/>
        </w:rPr>
        <w:t xml:space="preserve">  </w:t>
      </w:r>
    </w:p>
    <w:p w14:paraId="77BB6B8B">
      <w:pPr>
        <w:keepNext w:val="0"/>
        <w:keepLines w:val="0"/>
        <w:pageBreakBefore w:val="0"/>
        <w:widowControl w:val="0"/>
        <w:shd w:val="clear"/>
        <w:kinsoku/>
        <w:wordWrap/>
        <w:overflowPunct/>
        <w:topLinePunct/>
        <w:autoSpaceDE/>
        <w:autoSpaceDN/>
        <w:bidi w:val="0"/>
        <w:adjustRightInd w:val="0"/>
        <w:snapToGrid w:val="0"/>
        <w:spacing w:line="360" w:lineRule="auto"/>
        <w:ind w:firstLine="723" w:firstLineChars="200"/>
        <w:jc w:val="left"/>
        <w:textAlignment w:val="auto"/>
        <w:outlineLvl w:val="9"/>
        <w:rPr>
          <w:rFonts w:hint="eastAsia" w:ascii="宋体" w:hAnsi="宋体" w:eastAsia="宋体" w:cs="宋体"/>
          <w:b/>
          <w:color w:val="auto"/>
          <w:sz w:val="36"/>
          <w:highlight w:val="none"/>
        </w:rPr>
      </w:pPr>
      <w:r>
        <w:rPr>
          <w:rFonts w:hint="eastAsia" w:ascii="宋体" w:hAnsi="宋体" w:eastAsia="宋体" w:cs="宋体"/>
          <w:b/>
          <w:color w:val="auto"/>
          <w:sz w:val="36"/>
          <w:highlight w:val="none"/>
        </w:rPr>
        <w:t>日      期 ：</w:t>
      </w:r>
      <w:r>
        <w:rPr>
          <w:rFonts w:hint="eastAsia" w:ascii="宋体" w:hAnsi="宋体" w:eastAsia="宋体" w:cs="宋体"/>
          <w:b/>
          <w:color w:val="auto"/>
          <w:sz w:val="36"/>
          <w:highlight w:val="none"/>
          <w:u w:val="single"/>
        </w:rPr>
        <w:t xml:space="preserve">            </w:t>
      </w:r>
      <w:r>
        <w:rPr>
          <w:rFonts w:hint="eastAsia" w:ascii="宋体" w:hAnsi="宋体" w:cs="宋体"/>
          <w:b/>
          <w:color w:val="auto"/>
          <w:sz w:val="36"/>
          <w:highlight w:val="none"/>
          <w:u w:val="single"/>
          <w:lang w:val="en-US" w:eastAsia="zh-CN"/>
        </w:rPr>
        <w:t xml:space="preserve">   </w:t>
      </w:r>
      <w:r>
        <w:rPr>
          <w:rFonts w:hint="eastAsia" w:ascii="宋体" w:hAnsi="宋体" w:eastAsia="宋体" w:cs="宋体"/>
          <w:b/>
          <w:color w:val="auto"/>
          <w:sz w:val="36"/>
          <w:highlight w:val="none"/>
          <w:u w:val="single"/>
        </w:rPr>
        <w:t xml:space="preserve"> </w:t>
      </w:r>
      <w:r>
        <w:rPr>
          <w:rFonts w:hint="eastAsia" w:ascii="宋体" w:hAnsi="宋体" w:cs="宋体"/>
          <w:b/>
          <w:color w:val="auto"/>
          <w:sz w:val="36"/>
          <w:highlight w:val="none"/>
          <w:u w:val="single"/>
          <w:lang w:val="en-US" w:eastAsia="zh-CN"/>
        </w:rPr>
        <w:t xml:space="preserve">     </w:t>
      </w:r>
      <w:r>
        <w:rPr>
          <w:rFonts w:hint="eastAsia" w:ascii="宋体" w:hAnsi="宋体" w:eastAsia="宋体" w:cs="宋体"/>
          <w:b/>
          <w:color w:val="auto"/>
          <w:sz w:val="36"/>
          <w:highlight w:val="none"/>
          <w:u w:val="single"/>
        </w:rPr>
        <w:t xml:space="preserve">  </w:t>
      </w:r>
    </w:p>
    <w:p w14:paraId="3E0227F4">
      <w:pPr>
        <w:keepNext w:val="0"/>
        <w:keepLines w:val="0"/>
        <w:pageBreakBefore w:val="0"/>
        <w:widowControl w:val="0"/>
        <w:kinsoku/>
        <w:wordWrap/>
        <w:overflowPunct/>
        <w:topLinePunct/>
        <w:autoSpaceDE/>
        <w:autoSpaceDN/>
        <w:bidi w:val="0"/>
        <w:adjustRightInd w:val="0"/>
        <w:snapToGrid w:val="0"/>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6C20060">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一、资格证明文件</w:t>
      </w:r>
    </w:p>
    <w:p w14:paraId="16241D1C">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满足《中华人民共和国政府采购法》第二十二条规定及法律法规的其他规定</w:t>
      </w:r>
    </w:p>
    <w:p w14:paraId="146410F2">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1-1有效的法人或者其他组织的营业执照等证明文件复印件</w:t>
      </w:r>
    </w:p>
    <w:p w14:paraId="2170F489">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lang w:val="en-US" w:eastAsia="zh-CN"/>
        </w:rPr>
      </w:pPr>
    </w:p>
    <w:p w14:paraId="45DB98B4">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lang w:val="en-US" w:eastAsia="zh-CN"/>
        </w:rPr>
      </w:pPr>
    </w:p>
    <w:p w14:paraId="2157C057">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lang w:val="en-US" w:eastAsia="zh-CN"/>
        </w:rPr>
      </w:pPr>
    </w:p>
    <w:p w14:paraId="444A0BD6">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 投标人资格声明函（实质性格式）</w:t>
      </w:r>
    </w:p>
    <w:p w14:paraId="33C4E465">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t>投标人资格声明函</w:t>
      </w:r>
    </w:p>
    <w:p w14:paraId="714DD6EC">
      <w:pPr>
        <w:pStyle w:val="5"/>
        <w:keepNext w:val="0"/>
        <w:keepLines w:val="0"/>
        <w:pageBreakBefore w:val="0"/>
        <w:widowControl w:val="0"/>
        <w:shd w:val="clear"/>
        <w:kinsoku/>
        <w:wordWrap/>
        <w:overflowPunct/>
        <w:topLinePunct/>
        <w:autoSpaceDE/>
        <w:autoSpaceDN/>
        <w:bidi w:val="0"/>
        <w:adjustRightInd w:val="0"/>
        <w:snapToGrid w:val="0"/>
        <w:spacing w:line="360" w:lineRule="auto"/>
        <w:ind w:left="0" w:leftChars="0" w:firstLine="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hAnsi="宋体" w:cs="宋体"/>
          <w:color w:val="auto"/>
          <w:sz w:val="21"/>
          <w:szCs w:val="21"/>
          <w:highlight w:val="none"/>
          <w:u w:val="single"/>
          <w:lang w:eastAsia="zh-CN"/>
        </w:rPr>
        <w:t>常州市钟楼区机关事务管理中心、</w:t>
      </w:r>
      <w:r>
        <w:rPr>
          <w:rFonts w:hint="eastAsia" w:ascii="宋体" w:hAnsi="宋体" w:eastAsia="宋体" w:cs="宋体"/>
          <w:color w:val="auto"/>
          <w:sz w:val="21"/>
          <w:szCs w:val="21"/>
          <w:highlight w:val="none"/>
          <w:u w:val="single"/>
        </w:rPr>
        <w:t>常州青枫招标有限公司</w:t>
      </w:r>
    </w:p>
    <w:p w14:paraId="23BC6B44">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p>
    <w:p w14:paraId="6C5DA0F1">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按照《中华人民共和国政府采购法》第二十二条和招标文件的规定，我单位郑重声明如下：</w:t>
      </w:r>
    </w:p>
    <w:p w14:paraId="0062C0E0">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一、我单位是按照中华人民共和国法律规定登记注册的，注册地点为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，统一社会信用代码为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，法定代表人（单位负责人）为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，具有独立承担民事责任的能力</w:t>
      </w:r>
      <w:r>
        <w:rPr>
          <w:rFonts w:hint="eastAsia" w:ascii="宋体" w:hAnsi="宋体" w:eastAsia="宋体" w:cs="宋体"/>
          <w:b/>
          <w:color w:val="auto"/>
          <w:sz w:val="21"/>
          <w:szCs w:val="21"/>
          <w:highlight w:val="none"/>
        </w:rPr>
        <w:t>（如属于分公司经总公司授权参与项目，由总公司承担民事责任的，需提供总公司项目授权书）</w:t>
      </w:r>
      <w:r>
        <w:rPr>
          <w:rFonts w:hint="eastAsia" w:ascii="宋体" w:hAnsi="宋体" w:eastAsia="宋体" w:cs="宋体"/>
          <w:color w:val="auto"/>
          <w:sz w:val="21"/>
          <w:szCs w:val="21"/>
          <w:highlight w:val="none"/>
        </w:rPr>
        <w:t>。</w:t>
      </w:r>
    </w:p>
    <w:p w14:paraId="4C54A1EB">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二、我单位具有良好的商业信誉（指投标人经营状况良好，无本资格声明第十条情形）和健全的财务会计制度。</w:t>
      </w:r>
    </w:p>
    <w:p w14:paraId="3A8035F2">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三、我单位依法进行纳税和社会保险申报并实际履行了义务。</w:t>
      </w:r>
    </w:p>
    <w:p w14:paraId="2515F6D7">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四、我单位具有履行本项目采购合同所必需的设备和专业技术能力，并具有履行合同的良好记录。为履行本项采购合同我单位具备如下主要设备和主要专业技术能力</w:t>
      </w:r>
      <w:r>
        <w:rPr>
          <w:rFonts w:hint="eastAsia" w:hAnsi="宋体" w:cs="宋体"/>
          <w:color w:val="auto"/>
          <w:sz w:val="21"/>
          <w:szCs w:val="21"/>
          <w:highlight w:val="none"/>
          <w:lang w:eastAsia="zh-CN"/>
        </w:rPr>
        <w:t>：</w:t>
      </w:r>
    </w:p>
    <w:p w14:paraId="36441DCF">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主要设备有：</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p>
    <w:p w14:paraId="62649F61">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主要专业技术能力有</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p>
    <w:p w14:paraId="17C693D4">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如在参加政府采购活动前3年内因违法经营被禁止在一定期限内参加政府采购活动，期限届满的，可以参加政府采购活动。）</w:t>
      </w:r>
    </w:p>
    <w:p w14:paraId="3C760414">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六、我单位具备法律、行政法规规定的其他条件。</w:t>
      </w:r>
    </w:p>
    <w:p w14:paraId="2E734A51">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七、与我单位存在“单位负责人为同一人或者存在直接控股、管理关系”的其他单位信息如下（如无此情形的，填写“无”）：</w:t>
      </w:r>
    </w:p>
    <w:p w14:paraId="4210E20C">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rPr>
        <w:t>与我单位的法定代表人（单位负责人）为同一人的其他单位如下：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79C9A76">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rPr>
        <w:t>我单位直接控股的其他单位如下：</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DC8EC74">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rPr>
        <w:t>与我单位存在管理关系的其他单位如下：</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DA3D50C">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八、我单位不属于为本项目提供整体设计、规范编制或者项目管理、监理、检测等服务的投标人。</w:t>
      </w:r>
    </w:p>
    <w:p w14:paraId="523C2E58">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九、我单位无以下不良信用记录情形：</w:t>
      </w:r>
    </w:p>
    <w:p w14:paraId="5636DCF2">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rPr>
        <w:t>在“信用中国”网站被列入失信被执行人和重大税收违法案件当事人名单</w:t>
      </w:r>
      <w:r>
        <w:rPr>
          <w:rFonts w:hint="eastAsia" w:hAnsi="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w:t>
      </w:r>
    </w:p>
    <w:p w14:paraId="78A09B50">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rPr>
        <w:t>在“中国政府采购网”网站被列入政府采购严重违法失信行为记录名单；</w:t>
      </w:r>
    </w:p>
    <w:p w14:paraId="6233247A">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rPr>
        <w:t>不符合《政府采购法》第二十二条规定的条件。</w:t>
      </w:r>
    </w:p>
    <w:p w14:paraId="4E70AD2C">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p>
    <w:p w14:paraId="5717A98C">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我单位保证上述声明的事项都是真实的，如有虚假，我单位愿意承担相应的法律责任，并承担因此所造成的一切损失。</w:t>
      </w:r>
    </w:p>
    <w:p w14:paraId="29441BE7">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p>
    <w:p w14:paraId="464E3286">
      <w:pPr>
        <w:pStyle w:val="5"/>
        <w:keepNext w:val="0"/>
        <w:keepLines w:val="0"/>
        <w:pageBreakBefore w:val="0"/>
        <w:widowControl w:val="0"/>
        <w:shd w:val="clear"/>
        <w:kinsoku/>
        <w:wordWrap/>
        <w:overflowPunct/>
        <w:topLinePunct/>
        <w:autoSpaceDE/>
        <w:autoSpaceDN/>
        <w:bidi w:val="0"/>
        <w:adjustRightInd w:val="0"/>
        <w:snapToGrid w:val="0"/>
        <w:spacing w:line="360" w:lineRule="auto"/>
        <w:ind w:firstLine="480"/>
        <w:textAlignment w:val="auto"/>
        <w:outlineLvl w:val="9"/>
        <w:rPr>
          <w:rFonts w:hint="eastAsia" w:ascii="宋体" w:hAnsi="宋体" w:eastAsia="宋体" w:cs="宋体"/>
          <w:color w:val="auto"/>
          <w:sz w:val="21"/>
          <w:szCs w:val="21"/>
          <w:highlight w:val="none"/>
        </w:rPr>
      </w:pPr>
    </w:p>
    <w:p w14:paraId="36C8143F">
      <w:pPr>
        <w:pStyle w:val="5"/>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11A6CD63">
      <w:pPr>
        <w:pStyle w:val="5"/>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法定代表人（单位负责人）签字或盖章：</w:t>
      </w:r>
    </w:p>
    <w:p w14:paraId="6F95FD41">
      <w:pPr>
        <w:pStyle w:val="5"/>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03CB8198">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p>
    <w:p w14:paraId="236698B1">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p>
    <w:p w14:paraId="6997127A">
      <w:pPr>
        <w:pStyle w:val="42"/>
        <w:keepNext w:val="0"/>
        <w:keepLines w:val="0"/>
        <w:pageBreakBefore w:val="0"/>
        <w:widowControl w:val="0"/>
        <w:shd w:val="clear"/>
        <w:kinsoku/>
        <w:wordWrap/>
        <w:overflowPunct/>
        <w:topLinePunct/>
        <w:autoSpaceDE/>
        <w:autoSpaceDN/>
        <w:bidi w:val="0"/>
        <w:adjustRightInd w:val="0"/>
        <w:snapToGrid w:val="0"/>
        <w:spacing w:before="0" w:line="360" w:lineRule="auto"/>
        <w:textAlignment w:val="auto"/>
        <w:outlineLvl w:val="9"/>
        <w:rPr>
          <w:rFonts w:hint="eastAsia" w:ascii="宋体" w:hAnsi="宋体" w:eastAsia="宋体" w:cs="宋体"/>
          <w:color w:val="auto"/>
          <w:sz w:val="21"/>
          <w:szCs w:val="21"/>
          <w:highlight w:val="none"/>
        </w:rPr>
      </w:pPr>
    </w:p>
    <w:p w14:paraId="1407638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p>
    <w:p w14:paraId="0EB2E178">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highlight w:val="none"/>
        </w:rPr>
      </w:pPr>
    </w:p>
    <w:p w14:paraId="113A51F2">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承诺不实的，依据《政府采购法》第七十七条“提供虚假材料谋取中标、成交的”有关规定予以处理。</w:t>
      </w:r>
    </w:p>
    <w:p w14:paraId="4DDF0DAA">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若供应商为事业单位或其他组织或分支机构（仅当招标文件注明允许分支机构响应的），则法定代表人（单位负责人）处的签署人可为单位负责人。</w:t>
      </w:r>
    </w:p>
    <w:p w14:paraId="62098BB1">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1DE2A7E9">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2 落实政府采购政策需满足的资格要求</w:t>
      </w:r>
    </w:p>
    <w:p w14:paraId="14299788">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textAlignment w:val="auto"/>
        <w:outlineLvl w:val="9"/>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提示：本项目（包）专门面向中小企业采购，在《资格证明文件》中必须提供符合供应商自身属性的材料。在编制环节的“价格扣除文件格式-企业报价折扣证明（小微企业、监狱和戒毒企业、残疾人福利单位声明函）”中同步提供。</w:t>
      </w:r>
    </w:p>
    <w:p w14:paraId="3AD7C781">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p>
    <w:p w14:paraId="66F7DE31">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textAlignment w:val="auto"/>
        <w:outlineLvl w:val="9"/>
        <w:rPr>
          <w:rFonts w:hint="eastAsia" w:ascii="宋体" w:hAnsi="宋体" w:cs="宋体"/>
          <w:b/>
          <w:bCs/>
          <w:color w:val="auto"/>
          <w:sz w:val="21"/>
          <w:szCs w:val="21"/>
          <w:highlight w:val="none"/>
          <w:lang w:eastAsia="zh-CN"/>
        </w:rPr>
      </w:pPr>
      <w:r>
        <w:rPr>
          <w:rFonts w:hint="eastAsia" w:ascii="宋体" w:hAnsi="宋体" w:eastAsia="宋体" w:cs="宋体"/>
          <w:b/>
          <w:bCs/>
          <w:color w:val="auto"/>
          <w:sz w:val="21"/>
          <w:szCs w:val="21"/>
          <w:highlight w:val="none"/>
        </w:rPr>
        <w:t>2-1中小企业声明函</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实质性格式</w:t>
      </w:r>
      <w:r>
        <w:rPr>
          <w:rFonts w:hint="eastAsia" w:ascii="宋体" w:hAnsi="宋体" w:cs="宋体"/>
          <w:b/>
          <w:bCs/>
          <w:color w:val="auto"/>
          <w:sz w:val="21"/>
          <w:szCs w:val="21"/>
          <w:highlight w:val="none"/>
          <w:lang w:eastAsia="zh-CN"/>
        </w:rPr>
        <w:t>）</w:t>
      </w:r>
    </w:p>
    <w:p w14:paraId="3A1DA9B0">
      <w:pPr>
        <w:keepNext w:val="0"/>
        <w:keepLines w:val="0"/>
        <w:pageBreakBefore w:val="0"/>
        <w:widowControl w:val="0"/>
        <w:kinsoku/>
        <w:wordWrap/>
        <w:overflowPunct/>
        <w:topLinePunct/>
        <w:autoSpaceDE/>
        <w:autoSpaceDN/>
        <w:bidi w:val="0"/>
        <w:adjustRightInd w:val="0"/>
        <w:snapToGrid w:val="0"/>
        <w:spacing w:line="360" w:lineRule="auto"/>
        <w:jc w:val="center"/>
        <w:textAlignment w:val="auto"/>
        <w:outlineLvl w:val="9"/>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中小企业声明函（服务）</w:t>
      </w:r>
    </w:p>
    <w:p w14:paraId="050029D9">
      <w:pPr>
        <w:keepNext w:val="0"/>
        <w:keepLines w:val="0"/>
        <w:pageBreakBefore w:val="0"/>
        <w:widowControl w:val="0"/>
        <w:kinsoku/>
        <w:wordWrap/>
        <w:overflowPunct/>
        <w:topLinePunct/>
        <w:autoSpaceDE/>
        <w:autoSpaceDN/>
        <w:bidi w:val="0"/>
        <w:adjustRightInd w:val="0"/>
        <w:snapToGrid w:val="0"/>
        <w:spacing w:line="360" w:lineRule="auto"/>
        <w:ind w:right="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val="0"/>
          <w:bCs w:val="0"/>
          <w:color w:val="auto"/>
          <w:kern w:val="0"/>
          <w:sz w:val="21"/>
          <w:szCs w:val="21"/>
          <w:highlight w:val="none"/>
        </w:rPr>
        <w:t>本公司（联合体）郑重声明，根据《政府采购促进中小企业发展管理办法》（财库﹝2020﹞46号）的规定，本公司（联合体）参加</w:t>
      </w:r>
      <w:r>
        <w:rPr>
          <w:rFonts w:hint="eastAsia" w:ascii="宋体" w:hAnsi="宋体" w:cs="宋体"/>
          <w:b/>
          <w:bCs/>
          <w:color w:val="auto"/>
          <w:spacing w:val="6"/>
          <w:sz w:val="21"/>
          <w:szCs w:val="21"/>
          <w:highlight w:val="none"/>
          <w:u w:val="single"/>
          <w:lang w:eastAsia="zh-CN"/>
        </w:rPr>
        <w:t>常州市钟楼区机关事务管理中心</w:t>
      </w:r>
      <w:r>
        <w:rPr>
          <w:rFonts w:hint="eastAsia" w:ascii="宋体" w:hAnsi="宋体" w:eastAsia="宋体" w:cs="宋体"/>
          <w:color w:val="auto"/>
          <w:kern w:val="0"/>
          <w:sz w:val="21"/>
          <w:szCs w:val="21"/>
          <w:highlight w:val="none"/>
        </w:rPr>
        <w:t>的</w:t>
      </w:r>
      <w:r>
        <w:rPr>
          <w:rFonts w:hint="eastAsia" w:ascii="宋体" w:hAnsi="宋体" w:cs="宋体"/>
          <w:b/>
          <w:bCs/>
          <w:color w:val="auto"/>
          <w:spacing w:val="6"/>
          <w:sz w:val="21"/>
          <w:szCs w:val="21"/>
          <w:highlight w:val="none"/>
          <w:u w:val="single"/>
          <w:lang w:eastAsia="zh-CN"/>
        </w:rPr>
        <w:t>常州市钟楼区行政中心机关食堂餐饮服务及管理项目</w:t>
      </w:r>
      <w:r>
        <w:rPr>
          <w:rFonts w:hint="eastAsia" w:ascii="宋体" w:hAnsi="宋体" w:eastAsia="宋体" w:cs="宋体"/>
          <w:b w:val="0"/>
          <w:bCs w:val="0"/>
          <w:color w:val="auto"/>
          <w:kern w:val="0"/>
          <w:sz w:val="21"/>
          <w:szCs w:val="21"/>
          <w:highlight w:val="none"/>
        </w:rPr>
        <w:t>采购活动，服务全部由符合政策要求的中小企业承接。相关企业（含联合体中的中小企业、签订分包意向协议的中小企业）的具体情况如下</w:t>
      </w:r>
      <w:r>
        <w:rPr>
          <w:rFonts w:hint="eastAsia" w:ascii="宋体" w:hAnsi="宋体" w:eastAsia="宋体" w:cs="宋体"/>
          <w:color w:val="auto"/>
          <w:kern w:val="0"/>
          <w:sz w:val="21"/>
          <w:szCs w:val="21"/>
          <w:highlight w:val="none"/>
        </w:rPr>
        <w:t>：</w:t>
      </w:r>
    </w:p>
    <w:p w14:paraId="3F68036E">
      <w:pPr>
        <w:keepNext w:val="0"/>
        <w:keepLines w:val="0"/>
        <w:pageBreakBefore w:val="0"/>
        <w:widowControl w:val="0"/>
        <w:kinsoku/>
        <w:wordWrap/>
        <w:overflowPunct/>
        <w:topLinePunct/>
        <w:autoSpaceDE/>
        <w:autoSpaceDN/>
        <w:bidi w:val="0"/>
        <w:adjustRightInd w:val="0"/>
        <w:snapToGrid w:val="0"/>
        <w:spacing w:line="360" w:lineRule="auto"/>
        <w:ind w:right="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i w:val="0"/>
          <w:iCs/>
          <w:color w:val="auto"/>
          <w:kern w:val="0"/>
          <w:sz w:val="21"/>
          <w:szCs w:val="21"/>
          <w:highlight w:val="none"/>
          <w:u w:val="none" w:color="auto"/>
          <w:lang w:val="en-US" w:eastAsia="zh-CN"/>
        </w:rPr>
        <w:t>1.</w:t>
      </w:r>
      <w:r>
        <w:rPr>
          <w:rFonts w:hint="eastAsia" w:ascii="宋体" w:hAnsi="宋体" w:cs="宋体"/>
          <w:b/>
          <w:bCs/>
          <w:i w:val="0"/>
          <w:iCs/>
          <w:color w:val="auto"/>
          <w:kern w:val="0"/>
          <w:sz w:val="21"/>
          <w:szCs w:val="21"/>
          <w:highlight w:val="none"/>
          <w:u w:val="single" w:color="auto"/>
          <w:lang w:val="en-US" w:eastAsia="zh-CN"/>
        </w:rPr>
        <w:t xml:space="preserve">   常州市钟楼区行政中心机关食堂餐饮服务及管理项目   </w:t>
      </w:r>
      <w:r>
        <w:rPr>
          <w:rFonts w:hint="eastAsia" w:ascii="宋体" w:hAnsi="宋体" w:eastAsia="宋体" w:cs="宋体"/>
          <w:color w:val="auto"/>
          <w:kern w:val="0"/>
          <w:sz w:val="21"/>
          <w:szCs w:val="21"/>
          <w:highlight w:val="none"/>
        </w:rPr>
        <w:t>，属于</w:t>
      </w:r>
      <w:r>
        <w:rPr>
          <w:rFonts w:hint="eastAsia" w:ascii="宋体" w:hAnsi="宋体" w:eastAsia="宋体" w:cs="宋体"/>
          <w:b/>
          <w:bCs/>
          <w:color w:val="auto"/>
          <w:spacing w:val="6"/>
          <w:sz w:val="21"/>
          <w:szCs w:val="21"/>
          <w:highlight w:val="none"/>
          <w:u w:val="single"/>
          <w:lang w:val="en-US" w:eastAsia="zh-CN"/>
        </w:rPr>
        <w:t xml:space="preserve">    </w:t>
      </w:r>
      <w:r>
        <w:rPr>
          <w:rFonts w:hint="eastAsia" w:ascii="宋体" w:hAnsi="宋体" w:cs="宋体"/>
          <w:b/>
          <w:bCs/>
          <w:color w:val="auto"/>
          <w:spacing w:val="6"/>
          <w:sz w:val="21"/>
          <w:szCs w:val="21"/>
          <w:highlight w:val="none"/>
          <w:u w:val="single"/>
          <w:lang w:val="en-US" w:eastAsia="zh-CN"/>
        </w:rPr>
        <w:t xml:space="preserve">餐饮业    </w:t>
      </w:r>
      <w:r>
        <w:rPr>
          <w:rFonts w:hint="eastAsia" w:ascii="宋体" w:hAnsi="宋体" w:eastAsia="宋体" w:cs="宋体"/>
          <w:color w:val="auto"/>
          <w:spacing w:val="6"/>
          <w:sz w:val="21"/>
          <w:szCs w:val="21"/>
          <w:highlight w:val="none"/>
        </w:rPr>
        <w:t>行业</w:t>
      </w:r>
      <w:r>
        <w:rPr>
          <w:rFonts w:hint="eastAsia" w:ascii="宋体" w:hAnsi="宋体" w:eastAsia="宋体" w:cs="宋体"/>
          <w:color w:val="auto"/>
          <w:kern w:val="0"/>
          <w:sz w:val="21"/>
          <w:szCs w:val="21"/>
          <w:highlight w:val="none"/>
        </w:rPr>
        <w:t>；承接企业为</w:t>
      </w:r>
      <w:r>
        <w:rPr>
          <w:rFonts w:hint="eastAsia" w:ascii="宋体" w:hAnsi="宋体" w:eastAsia="宋体" w:cs="宋体"/>
          <w:b/>
          <w:bCs/>
          <w:i w:val="0"/>
          <w:iCs/>
          <w:color w:val="auto"/>
          <w:kern w:val="0"/>
          <w:sz w:val="21"/>
          <w:szCs w:val="21"/>
          <w:highlight w:val="none"/>
          <w:u w:val="single" w:color="000000"/>
          <w:lang w:val="en-US" w:eastAsia="zh-CN"/>
        </w:rPr>
        <w:t xml:space="preserve">    </w:t>
      </w:r>
      <w:r>
        <w:rPr>
          <w:rFonts w:hint="eastAsia" w:ascii="宋体" w:hAnsi="宋体" w:eastAsia="宋体" w:cs="宋体"/>
          <w:b/>
          <w:bCs/>
          <w:i w:val="0"/>
          <w:iCs/>
          <w:color w:val="auto"/>
          <w:kern w:val="0"/>
          <w:sz w:val="21"/>
          <w:szCs w:val="21"/>
          <w:highlight w:val="none"/>
          <w:u w:val="single" w:color="000000"/>
        </w:rPr>
        <w:t>（企业名称）</w:t>
      </w:r>
      <w:r>
        <w:rPr>
          <w:rFonts w:hint="eastAsia" w:ascii="宋体" w:hAnsi="宋体" w:eastAsia="宋体" w:cs="宋体"/>
          <w:b/>
          <w:bCs/>
          <w:i w:val="0"/>
          <w:iCs/>
          <w:color w:val="auto"/>
          <w:kern w:val="0"/>
          <w:sz w:val="21"/>
          <w:szCs w:val="21"/>
          <w:highlight w:val="none"/>
          <w:u w:val="single" w:color="000000"/>
          <w:lang w:val="en-US" w:eastAsia="zh-CN"/>
        </w:rPr>
        <w:t xml:space="preserve">   </w:t>
      </w:r>
      <w:r>
        <w:rPr>
          <w:rFonts w:hint="eastAsia" w:ascii="宋体" w:hAnsi="宋体" w:eastAsia="宋体" w:cs="宋体"/>
          <w:color w:val="auto"/>
          <w:kern w:val="0"/>
          <w:sz w:val="21"/>
          <w:szCs w:val="21"/>
          <w:highlight w:val="none"/>
        </w:rPr>
        <w:t>，从业人员</w:t>
      </w:r>
      <w:r>
        <w:rPr>
          <w:rFonts w:hint="eastAsia" w:ascii="宋体" w:hAnsi="宋体" w:eastAsia="宋体" w:cs="宋体"/>
          <w:b/>
          <w:bCs/>
          <w:color w:val="auto"/>
          <w:kern w:val="0"/>
          <w:sz w:val="21"/>
          <w:szCs w:val="21"/>
          <w:highlight w:val="none"/>
          <w:u w:val="single" w:color="000000"/>
        </w:rPr>
        <w:tab/>
      </w:r>
      <w:r>
        <w:rPr>
          <w:rFonts w:hint="eastAsia" w:ascii="宋体" w:hAnsi="宋体" w:eastAsia="宋体" w:cs="宋体"/>
          <w:b/>
          <w:bCs/>
          <w:color w:val="auto"/>
          <w:kern w:val="0"/>
          <w:sz w:val="21"/>
          <w:szCs w:val="21"/>
          <w:highlight w:val="none"/>
          <w:u w:val="single" w:color="000000"/>
          <w:lang w:val="en-US" w:eastAsia="zh-CN"/>
        </w:rPr>
        <w:t xml:space="preserve"> </w:t>
      </w:r>
      <w:r>
        <w:rPr>
          <w:rFonts w:hint="eastAsia" w:ascii="宋体" w:hAnsi="宋体" w:cs="宋体"/>
          <w:b/>
          <w:bCs/>
          <w:color w:val="auto"/>
          <w:kern w:val="0"/>
          <w:sz w:val="21"/>
          <w:szCs w:val="21"/>
          <w:highlight w:val="none"/>
          <w:u w:val="single" w:color="000000"/>
          <w:lang w:val="en-US" w:eastAsia="zh-CN"/>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b/>
          <w:bCs/>
          <w:color w:val="auto"/>
          <w:kern w:val="0"/>
          <w:sz w:val="21"/>
          <w:szCs w:val="21"/>
          <w:highlight w:val="none"/>
          <w:u w:val="single" w:color="000000"/>
        </w:rPr>
        <w:tab/>
      </w:r>
      <w:r>
        <w:rPr>
          <w:rFonts w:hint="eastAsia" w:ascii="宋体" w:hAnsi="宋体" w:eastAsia="宋体" w:cs="宋体"/>
          <w:color w:val="auto"/>
          <w:kern w:val="0"/>
          <w:sz w:val="21"/>
          <w:szCs w:val="21"/>
          <w:highlight w:val="none"/>
        </w:rPr>
        <w:t>万元，资产总额为</w:t>
      </w:r>
      <w:r>
        <w:rPr>
          <w:rFonts w:hint="eastAsia" w:ascii="宋体" w:hAnsi="宋体" w:eastAsia="宋体" w:cs="宋体"/>
          <w:b/>
          <w:bCs/>
          <w:color w:val="auto"/>
          <w:kern w:val="0"/>
          <w:sz w:val="21"/>
          <w:szCs w:val="21"/>
          <w:highlight w:val="none"/>
          <w:u w:val="single" w:color="000000"/>
        </w:rPr>
        <w:tab/>
      </w:r>
      <w:r>
        <w:rPr>
          <w:rFonts w:hint="eastAsia" w:ascii="宋体" w:hAnsi="宋体" w:eastAsia="宋体" w:cs="宋体"/>
          <w:b/>
          <w:bCs/>
          <w:color w:val="auto"/>
          <w:kern w:val="0"/>
          <w:sz w:val="21"/>
          <w:szCs w:val="21"/>
          <w:highlight w:val="none"/>
          <w:u w:val="single" w:color="000000"/>
          <w:lang w:val="en-US" w:eastAsia="zh-CN"/>
        </w:rPr>
        <w:t xml:space="preserve"> </w:t>
      </w:r>
      <w:r>
        <w:rPr>
          <w:rFonts w:hint="eastAsia" w:ascii="宋体" w:hAnsi="宋体" w:eastAsia="宋体" w:cs="宋体"/>
          <w:color w:val="auto"/>
          <w:kern w:val="0"/>
          <w:sz w:val="21"/>
          <w:szCs w:val="21"/>
          <w:highlight w:val="none"/>
        </w:rPr>
        <w:t>万</w:t>
      </w:r>
      <w:r>
        <w:rPr>
          <w:rFonts w:hint="eastAsia" w:ascii="宋体" w:hAnsi="宋体" w:eastAsia="宋体" w:cs="宋体"/>
          <w:color w:val="auto"/>
          <w:spacing w:val="6"/>
          <w:sz w:val="21"/>
          <w:szCs w:val="21"/>
          <w:highlight w:val="none"/>
        </w:rPr>
        <w:t>元</w:t>
      </w:r>
      <w:r>
        <w:rPr>
          <w:rFonts w:hint="eastAsia" w:ascii="宋体" w:hAnsi="宋体" w:eastAsia="宋体" w:cs="宋体"/>
          <w:color w:val="auto"/>
          <w:spacing w:val="6"/>
          <w:sz w:val="21"/>
          <w:szCs w:val="21"/>
          <w:highlight w:val="none"/>
          <w:vertAlign w:val="superscript"/>
        </w:rPr>
        <w:t>1</w:t>
      </w:r>
      <w:r>
        <w:rPr>
          <w:rFonts w:hint="eastAsia" w:ascii="宋体" w:hAnsi="宋体" w:eastAsia="宋体" w:cs="宋体"/>
          <w:color w:val="auto"/>
          <w:kern w:val="0"/>
          <w:sz w:val="21"/>
          <w:szCs w:val="21"/>
          <w:highlight w:val="none"/>
        </w:rPr>
        <w:t>，属于</w:t>
      </w:r>
      <w:r>
        <w:rPr>
          <w:rFonts w:hint="eastAsia" w:ascii="宋体" w:hAnsi="宋体" w:eastAsia="宋体" w:cs="宋体"/>
          <w:b/>
          <w:bCs/>
          <w:i w:val="0"/>
          <w:iCs/>
          <w:color w:val="auto"/>
          <w:kern w:val="0"/>
          <w:sz w:val="21"/>
          <w:szCs w:val="21"/>
          <w:highlight w:val="none"/>
          <w:u w:val="single" w:color="auto"/>
          <w:lang w:val="en-US" w:eastAsia="zh-CN"/>
        </w:rPr>
        <w:t xml:space="preserve">  </w:t>
      </w:r>
      <w:r>
        <w:rPr>
          <w:rFonts w:hint="eastAsia" w:ascii="宋体" w:hAnsi="宋体" w:cs="宋体"/>
          <w:b/>
          <w:bCs/>
          <w:i w:val="0"/>
          <w:iCs/>
          <w:color w:val="auto"/>
          <w:kern w:val="0"/>
          <w:sz w:val="21"/>
          <w:szCs w:val="21"/>
          <w:highlight w:val="none"/>
          <w:u w:val="single" w:color="auto"/>
          <w:lang w:val="en-US" w:eastAsia="zh-CN"/>
        </w:rPr>
        <w:t>□</w:t>
      </w:r>
      <w:r>
        <w:rPr>
          <w:rFonts w:hint="eastAsia" w:ascii="宋体" w:hAnsi="宋体" w:eastAsia="宋体" w:cs="宋体"/>
          <w:b/>
          <w:bCs/>
          <w:i w:val="0"/>
          <w:iCs/>
          <w:color w:val="auto"/>
          <w:kern w:val="0"/>
          <w:sz w:val="21"/>
          <w:szCs w:val="21"/>
          <w:highlight w:val="none"/>
          <w:u w:val="single" w:color="auto"/>
        </w:rPr>
        <w:t>中型企业</w:t>
      </w:r>
      <w:r>
        <w:rPr>
          <w:rFonts w:hint="eastAsia" w:ascii="宋体" w:hAnsi="宋体" w:cs="宋体"/>
          <w:b/>
          <w:bCs/>
          <w:i w:val="0"/>
          <w:iCs/>
          <w:color w:val="auto"/>
          <w:kern w:val="0"/>
          <w:sz w:val="21"/>
          <w:szCs w:val="21"/>
          <w:highlight w:val="none"/>
          <w:u w:val="single" w:color="auto"/>
          <w:lang w:val="en-US" w:eastAsia="zh-CN"/>
        </w:rPr>
        <w:t xml:space="preserve">    □</w:t>
      </w:r>
      <w:r>
        <w:rPr>
          <w:rFonts w:hint="eastAsia" w:ascii="宋体" w:hAnsi="宋体" w:eastAsia="宋体" w:cs="宋体"/>
          <w:b/>
          <w:bCs/>
          <w:i w:val="0"/>
          <w:iCs/>
          <w:color w:val="auto"/>
          <w:kern w:val="0"/>
          <w:sz w:val="21"/>
          <w:szCs w:val="21"/>
          <w:highlight w:val="none"/>
          <w:u w:val="single" w:color="auto"/>
        </w:rPr>
        <w:t>小型企业</w:t>
      </w:r>
      <w:r>
        <w:rPr>
          <w:rFonts w:hint="eastAsia" w:ascii="宋体" w:hAnsi="宋体" w:cs="宋体"/>
          <w:b/>
          <w:bCs/>
          <w:i w:val="0"/>
          <w:iCs/>
          <w:color w:val="auto"/>
          <w:kern w:val="0"/>
          <w:sz w:val="21"/>
          <w:szCs w:val="21"/>
          <w:highlight w:val="none"/>
          <w:u w:val="single" w:color="auto"/>
          <w:lang w:val="en-US" w:eastAsia="zh-CN"/>
        </w:rPr>
        <w:t xml:space="preserve">     □</w:t>
      </w:r>
      <w:r>
        <w:rPr>
          <w:rFonts w:hint="eastAsia" w:ascii="宋体" w:hAnsi="宋体" w:eastAsia="宋体" w:cs="宋体"/>
          <w:b/>
          <w:bCs/>
          <w:i w:val="0"/>
          <w:iCs/>
          <w:color w:val="auto"/>
          <w:kern w:val="0"/>
          <w:sz w:val="21"/>
          <w:szCs w:val="21"/>
          <w:highlight w:val="none"/>
          <w:u w:val="single" w:color="auto"/>
        </w:rPr>
        <w:t>微型企业</w:t>
      </w:r>
      <w:r>
        <w:rPr>
          <w:rFonts w:hint="eastAsia" w:ascii="宋体" w:hAnsi="宋体" w:cs="宋体"/>
          <w:b/>
          <w:bCs/>
          <w:i w:val="0"/>
          <w:iCs/>
          <w:color w:val="auto"/>
          <w:kern w:val="0"/>
          <w:sz w:val="21"/>
          <w:szCs w:val="21"/>
          <w:highlight w:val="none"/>
          <w:u w:val="single" w:color="auto"/>
          <w:lang w:val="en-US" w:eastAsia="zh-CN"/>
        </w:rPr>
        <w:t xml:space="preserve">  </w:t>
      </w:r>
      <w:r>
        <w:rPr>
          <w:rFonts w:hint="eastAsia" w:ascii="宋体" w:hAnsi="宋体" w:eastAsia="宋体" w:cs="宋体"/>
          <w:color w:val="auto"/>
          <w:kern w:val="0"/>
          <w:sz w:val="21"/>
          <w:szCs w:val="21"/>
          <w:highlight w:val="none"/>
        </w:rPr>
        <w:t>；</w:t>
      </w:r>
    </w:p>
    <w:p w14:paraId="11AF5FAD">
      <w:pPr>
        <w:keepNext w:val="0"/>
        <w:keepLines w:val="0"/>
        <w:pageBreakBefore w:val="0"/>
        <w:widowControl w:val="0"/>
        <w:kinsoku/>
        <w:wordWrap/>
        <w:overflowPunct/>
        <w:topLinePunct/>
        <w:autoSpaceDE/>
        <w:autoSpaceDN/>
        <w:bidi w:val="0"/>
        <w:adjustRightInd w:val="0"/>
        <w:snapToGrid w:val="0"/>
        <w:spacing w:line="360" w:lineRule="auto"/>
        <w:ind w:right="0" w:firstLine="420" w:firstLineChars="20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i w:val="0"/>
          <w:iCs/>
          <w:color w:val="auto"/>
          <w:kern w:val="0"/>
          <w:sz w:val="21"/>
          <w:szCs w:val="21"/>
          <w:highlight w:val="none"/>
          <w:u w:val="none" w:color="auto"/>
          <w:lang w:val="en-US" w:eastAsia="zh-CN"/>
        </w:rPr>
        <w:t>2.</w:t>
      </w:r>
      <w:r>
        <w:rPr>
          <w:rFonts w:hint="eastAsia" w:ascii="宋体" w:hAnsi="宋体" w:eastAsia="宋体" w:cs="宋体"/>
          <w:b w:val="0"/>
          <w:bCs w:val="0"/>
          <w:i w:val="0"/>
          <w:iCs/>
          <w:color w:val="auto"/>
          <w:kern w:val="0"/>
          <w:sz w:val="21"/>
          <w:szCs w:val="21"/>
          <w:highlight w:val="none"/>
          <w:u w:val="single" w:color="auto"/>
          <w:lang w:val="en-US" w:eastAsia="zh-CN"/>
        </w:rPr>
        <w:t xml:space="preserve">                                                  </w:t>
      </w:r>
      <w:r>
        <w:rPr>
          <w:rFonts w:hint="eastAsia" w:ascii="宋体" w:hAnsi="宋体" w:eastAsia="宋体" w:cs="宋体"/>
          <w:b w:val="0"/>
          <w:bCs w:val="0"/>
          <w:i w:val="0"/>
          <w:iCs/>
          <w:color w:val="auto"/>
          <w:kern w:val="0"/>
          <w:sz w:val="21"/>
          <w:szCs w:val="21"/>
          <w:highlight w:val="none"/>
          <w:u w:val="none" w:color="auto"/>
        </w:rPr>
        <w:t>项目</w:t>
      </w:r>
      <w:r>
        <w:rPr>
          <w:rFonts w:hint="eastAsia" w:ascii="宋体" w:hAnsi="宋体" w:eastAsia="宋体" w:cs="宋体"/>
          <w:b w:val="0"/>
          <w:bCs w:val="0"/>
          <w:color w:val="auto"/>
          <w:kern w:val="0"/>
          <w:sz w:val="21"/>
          <w:szCs w:val="21"/>
          <w:highlight w:val="none"/>
        </w:rPr>
        <w:t>，属于</w:t>
      </w:r>
      <w:r>
        <w:rPr>
          <w:rFonts w:hint="eastAsia" w:ascii="宋体" w:hAnsi="宋体" w:eastAsia="宋体" w:cs="宋体"/>
          <w:b w:val="0"/>
          <w:bCs w:val="0"/>
          <w:color w:val="auto"/>
          <w:spacing w:val="6"/>
          <w:sz w:val="21"/>
          <w:szCs w:val="21"/>
          <w:highlight w:val="none"/>
          <w:u w:val="single"/>
          <w:lang w:val="en-US" w:eastAsia="zh-CN"/>
        </w:rPr>
        <w:t xml:space="preserve">         </w:t>
      </w:r>
      <w:r>
        <w:rPr>
          <w:rFonts w:hint="eastAsia" w:ascii="宋体" w:hAnsi="宋体" w:cs="宋体"/>
          <w:b w:val="0"/>
          <w:bCs w:val="0"/>
          <w:color w:val="auto"/>
          <w:spacing w:val="6"/>
          <w:sz w:val="21"/>
          <w:szCs w:val="21"/>
          <w:highlight w:val="none"/>
          <w:u w:val="single"/>
          <w:lang w:val="en-US" w:eastAsia="zh-CN"/>
        </w:rPr>
        <w:t xml:space="preserve"> </w:t>
      </w:r>
      <w:r>
        <w:rPr>
          <w:rFonts w:hint="eastAsia" w:ascii="宋体" w:hAnsi="宋体" w:eastAsia="宋体" w:cs="宋体"/>
          <w:b w:val="0"/>
          <w:bCs w:val="0"/>
          <w:color w:val="auto"/>
          <w:spacing w:val="6"/>
          <w:sz w:val="21"/>
          <w:szCs w:val="21"/>
          <w:highlight w:val="none"/>
          <w:u w:val="single"/>
          <w:lang w:val="en-US" w:eastAsia="zh-CN"/>
        </w:rPr>
        <w:t xml:space="preserve">   </w:t>
      </w:r>
      <w:r>
        <w:rPr>
          <w:rFonts w:hint="eastAsia" w:ascii="宋体" w:hAnsi="宋体" w:eastAsia="宋体" w:cs="宋体"/>
          <w:b w:val="0"/>
          <w:bCs w:val="0"/>
          <w:color w:val="auto"/>
          <w:spacing w:val="6"/>
          <w:sz w:val="21"/>
          <w:szCs w:val="21"/>
          <w:highlight w:val="none"/>
        </w:rPr>
        <w:t>行业</w:t>
      </w:r>
      <w:r>
        <w:rPr>
          <w:rFonts w:hint="eastAsia" w:ascii="宋体" w:hAnsi="宋体" w:eastAsia="宋体" w:cs="宋体"/>
          <w:b w:val="0"/>
          <w:bCs w:val="0"/>
          <w:color w:val="auto"/>
          <w:kern w:val="0"/>
          <w:sz w:val="21"/>
          <w:szCs w:val="21"/>
          <w:highlight w:val="none"/>
        </w:rPr>
        <w:t>；承接企业为</w:t>
      </w:r>
      <w:r>
        <w:rPr>
          <w:rFonts w:hint="eastAsia" w:ascii="宋体" w:hAnsi="宋体" w:cs="宋体"/>
          <w:b w:val="0"/>
          <w:bCs w:val="0"/>
          <w:color w:val="auto"/>
          <w:kern w:val="0"/>
          <w:sz w:val="21"/>
          <w:szCs w:val="21"/>
          <w:highlight w:val="none"/>
          <w:u w:val="single" w:color="auto"/>
          <w:lang w:val="en-US" w:eastAsia="zh-CN"/>
        </w:rPr>
        <w:t xml:space="preserve">   </w:t>
      </w:r>
      <w:r>
        <w:rPr>
          <w:rFonts w:hint="eastAsia" w:ascii="宋体" w:hAnsi="宋体" w:eastAsia="宋体" w:cs="宋体"/>
          <w:b w:val="0"/>
          <w:bCs w:val="0"/>
          <w:i w:val="0"/>
          <w:iCs/>
          <w:color w:val="auto"/>
          <w:kern w:val="0"/>
          <w:sz w:val="21"/>
          <w:szCs w:val="21"/>
          <w:highlight w:val="none"/>
          <w:u w:val="single" w:color="000000"/>
        </w:rPr>
        <w:t>（企业名称）</w:t>
      </w:r>
      <w:r>
        <w:rPr>
          <w:rFonts w:hint="eastAsia" w:ascii="宋体" w:hAnsi="宋体" w:eastAsia="宋体" w:cs="宋体"/>
          <w:b w:val="0"/>
          <w:bCs w:val="0"/>
          <w:i w:val="0"/>
          <w:iCs/>
          <w:color w:val="auto"/>
          <w:kern w:val="0"/>
          <w:sz w:val="21"/>
          <w:szCs w:val="21"/>
          <w:highlight w:val="none"/>
          <w:u w:val="single" w:color="000000"/>
          <w:lang w:val="en-US" w:eastAsia="zh-CN"/>
        </w:rPr>
        <w:t xml:space="preserve">  </w:t>
      </w:r>
      <w:r>
        <w:rPr>
          <w:rFonts w:hint="eastAsia" w:ascii="宋体" w:hAnsi="宋体" w:eastAsia="宋体" w:cs="宋体"/>
          <w:b w:val="0"/>
          <w:bCs w:val="0"/>
          <w:color w:val="auto"/>
          <w:kern w:val="0"/>
          <w:sz w:val="21"/>
          <w:szCs w:val="21"/>
          <w:highlight w:val="none"/>
        </w:rPr>
        <w:t>，从业人员</w:t>
      </w:r>
      <w:r>
        <w:rPr>
          <w:rFonts w:hint="eastAsia" w:ascii="宋体" w:hAnsi="宋体" w:eastAsia="宋体" w:cs="宋体"/>
          <w:b w:val="0"/>
          <w:bCs w:val="0"/>
          <w:color w:val="auto"/>
          <w:kern w:val="0"/>
          <w:sz w:val="21"/>
          <w:szCs w:val="21"/>
          <w:highlight w:val="none"/>
          <w:u w:val="single" w:color="000000"/>
        </w:rPr>
        <w:tab/>
      </w:r>
      <w:r>
        <w:rPr>
          <w:rFonts w:hint="eastAsia" w:ascii="宋体" w:hAnsi="宋体" w:cs="宋体"/>
          <w:b w:val="0"/>
          <w:bCs w:val="0"/>
          <w:color w:val="auto"/>
          <w:kern w:val="0"/>
          <w:sz w:val="21"/>
          <w:szCs w:val="21"/>
          <w:highlight w:val="none"/>
          <w:u w:val="single" w:color="000000"/>
          <w:lang w:val="en-US" w:eastAsia="zh-CN"/>
        </w:rPr>
        <w:t xml:space="preserve"> </w:t>
      </w:r>
      <w:r>
        <w:rPr>
          <w:rFonts w:hint="eastAsia" w:ascii="宋体" w:hAnsi="宋体" w:eastAsia="宋体" w:cs="宋体"/>
          <w:b w:val="0"/>
          <w:bCs w:val="0"/>
          <w:color w:val="auto"/>
          <w:kern w:val="0"/>
          <w:sz w:val="21"/>
          <w:szCs w:val="21"/>
          <w:highlight w:val="none"/>
          <w:u w:val="single" w:color="000000"/>
          <w:lang w:val="en-US" w:eastAsia="zh-CN"/>
        </w:rPr>
        <w:t xml:space="preserve"> </w:t>
      </w:r>
      <w:r>
        <w:rPr>
          <w:rFonts w:hint="eastAsia" w:ascii="宋体" w:hAnsi="宋体" w:eastAsia="宋体" w:cs="宋体"/>
          <w:b w:val="0"/>
          <w:bCs w:val="0"/>
          <w:color w:val="auto"/>
          <w:kern w:val="0"/>
          <w:sz w:val="21"/>
          <w:szCs w:val="21"/>
          <w:highlight w:val="none"/>
        </w:rPr>
        <w:t>人，营业收入为</w:t>
      </w:r>
      <w:r>
        <w:rPr>
          <w:rFonts w:hint="eastAsia" w:ascii="宋体" w:hAnsi="宋体" w:cs="宋体"/>
          <w:b w:val="0"/>
          <w:bCs w:val="0"/>
          <w:color w:val="auto"/>
          <w:kern w:val="0"/>
          <w:sz w:val="21"/>
          <w:szCs w:val="21"/>
          <w:highlight w:val="none"/>
          <w:u w:val="single" w:color="auto"/>
          <w:lang w:val="en-US" w:eastAsia="zh-CN"/>
        </w:rPr>
        <w:t xml:space="preserve">    </w:t>
      </w:r>
      <w:r>
        <w:rPr>
          <w:rFonts w:hint="eastAsia" w:ascii="宋体" w:hAnsi="宋体" w:eastAsia="宋体" w:cs="宋体"/>
          <w:b w:val="0"/>
          <w:bCs w:val="0"/>
          <w:color w:val="auto"/>
          <w:kern w:val="0"/>
          <w:sz w:val="21"/>
          <w:szCs w:val="21"/>
          <w:highlight w:val="none"/>
        </w:rPr>
        <w:t>万元，资产总额为</w:t>
      </w:r>
      <w:r>
        <w:rPr>
          <w:rFonts w:hint="eastAsia" w:ascii="宋体" w:hAnsi="宋体" w:cs="宋体"/>
          <w:b w:val="0"/>
          <w:bCs w:val="0"/>
          <w:color w:val="auto"/>
          <w:kern w:val="0"/>
          <w:sz w:val="21"/>
          <w:szCs w:val="21"/>
          <w:highlight w:val="none"/>
          <w:u w:val="single" w:color="auto"/>
          <w:lang w:val="en-US" w:eastAsia="zh-CN"/>
        </w:rPr>
        <w:t xml:space="preserve">    </w:t>
      </w:r>
      <w:r>
        <w:rPr>
          <w:rFonts w:hint="eastAsia" w:ascii="宋体" w:hAnsi="宋体" w:eastAsia="宋体" w:cs="宋体"/>
          <w:b w:val="0"/>
          <w:bCs w:val="0"/>
          <w:color w:val="auto"/>
          <w:kern w:val="0"/>
          <w:sz w:val="21"/>
          <w:szCs w:val="21"/>
          <w:highlight w:val="none"/>
        </w:rPr>
        <w:t>万</w:t>
      </w:r>
      <w:r>
        <w:rPr>
          <w:rFonts w:hint="eastAsia" w:ascii="宋体" w:hAnsi="宋体" w:eastAsia="宋体" w:cs="宋体"/>
          <w:b w:val="0"/>
          <w:bCs w:val="0"/>
          <w:color w:val="auto"/>
          <w:spacing w:val="6"/>
          <w:sz w:val="21"/>
          <w:szCs w:val="21"/>
          <w:highlight w:val="none"/>
        </w:rPr>
        <w:t>元</w:t>
      </w:r>
      <w:r>
        <w:rPr>
          <w:rFonts w:hint="eastAsia" w:ascii="宋体" w:hAnsi="宋体" w:eastAsia="宋体" w:cs="宋体"/>
          <w:b w:val="0"/>
          <w:bCs w:val="0"/>
          <w:color w:val="auto"/>
          <w:spacing w:val="6"/>
          <w:sz w:val="21"/>
          <w:szCs w:val="21"/>
          <w:highlight w:val="none"/>
          <w:vertAlign w:val="superscript"/>
        </w:rPr>
        <w:t>1</w:t>
      </w:r>
      <w:r>
        <w:rPr>
          <w:rFonts w:hint="eastAsia" w:ascii="宋体" w:hAnsi="宋体" w:eastAsia="宋体" w:cs="宋体"/>
          <w:b w:val="0"/>
          <w:bCs w:val="0"/>
          <w:color w:val="auto"/>
          <w:kern w:val="0"/>
          <w:sz w:val="21"/>
          <w:szCs w:val="21"/>
          <w:highlight w:val="none"/>
        </w:rPr>
        <w:t>，属于</w:t>
      </w:r>
      <w:r>
        <w:rPr>
          <w:rFonts w:hint="eastAsia" w:ascii="宋体" w:hAnsi="宋体" w:eastAsia="宋体" w:cs="宋体"/>
          <w:b w:val="0"/>
          <w:bCs w:val="0"/>
          <w:i w:val="0"/>
          <w:iCs/>
          <w:color w:val="auto"/>
          <w:kern w:val="0"/>
          <w:sz w:val="21"/>
          <w:szCs w:val="21"/>
          <w:highlight w:val="none"/>
          <w:u w:val="single" w:color="auto"/>
          <w:lang w:val="en-US" w:eastAsia="zh-CN"/>
        </w:rPr>
        <w:t xml:space="preserve">  </w:t>
      </w:r>
      <w:r>
        <w:rPr>
          <w:rFonts w:hint="eastAsia" w:ascii="宋体" w:hAnsi="宋体" w:cs="宋体"/>
          <w:b w:val="0"/>
          <w:bCs w:val="0"/>
          <w:i w:val="0"/>
          <w:iCs/>
          <w:color w:val="auto"/>
          <w:kern w:val="0"/>
          <w:sz w:val="21"/>
          <w:szCs w:val="21"/>
          <w:highlight w:val="none"/>
          <w:u w:val="single" w:color="auto"/>
          <w:lang w:val="en-US" w:eastAsia="zh-CN"/>
        </w:rPr>
        <w:t>□</w:t>
      </w:r>
      <w:r>
        <w:rPr>
          <w:rFonts w:hint="eastAsia" w:ascii="宋体" w:hAnsi="宋体" w:eastAsia="宋体" w:cs="宋体"/>
          <w:b w:val="0"/>
          <w:bCs w:val="0"/>
          <w:i w:val="0"/>
          <w:iCs/>
          <w:color w:val="auto"/>
          <w:kern w:val="0"/>
          <w:sz w:val="21"/>
          <w:szCs w:val="21"/>
          <w:highlight w:val="none"/>
          <w:u w:val="single" w:color="auto"/>
        </w:rPr>
        <w:t>中型企业</w:t>
      </w:r>
      <w:r>
        <w:rPr>
          <w:rFonts w:hint="eastAsia" w:ascii="宋体" w:hAnsi="宋体" w:cs="宋体"/>
          <w:b w:val="0"/>
          <w:bCs w:val="0"/>
          <w:i w:val="0"/>
          <w:iCs/>
          <w:color w:val="auto"/>
          <w:kern w:val="0"/>
          <w:sz w:val="21"/>
          <w:szCs w:val="21"/>
          <w:highlight w:val="none"/>
          <w:u w:val="single" w:color="auto"/>
          <w:lang w:val="en-US" w:eastAsia="zh-CN"/>
        </w:rPr>
        <w:t xml:space="preserve">    □</w:t>
      </w:r>
      <w:r>
        <w:rPr>
          <w:rFonts w:hint="eastAsia" w:ascii="宋体" w:hAnsi="宋体" w:eastAsia="宋体" w:cs="宋体"/>
          <w:b w:val="0"/>
          <w:bCs w:val="0"/>
          <w:i w:val="0"/>
          <w:iCs/>
          <w:color w:val="auto"/>
          <w:kern w:val="0"/>
          <w:sz w:val="21"/>
          <w:szCs w:val="21"/>
          <w:highlight w:val="none"/>
          <w:u w:val="single" w:color="auto"/>
        </w:rPr>
        <w:t>小型企业</w:t>
      </w:r>
      <w:r>
        <w:rPr>
          <w:rFonts w:hint="eastAsia" w:ascii="宋体" w:hAnsi="宋体" w:cs="宋体"/>
          <w:b w:val="0"/>
          <w:bCs w:val="0"/>
          <w:i w:val="0"/>
          <w:iCs/>
          <w:color w:val="auto"/>
          <w:kern w:val="0"/>
          <w:sz w:val="21"/>
          <w:szCs w:val="21"/>
          <w:highlight w:val="none"/>
          <w:u w:val="single" w:color="auto"/>
          <w:lang w:val="en-US" w:eastAsia="zh-CN"/>
        </w:rPr>
        <w:t xml:space="preserve">     □</w:t>
      </w:r>
      <w:r>
        <w:rPr>
          <w:rFonts w:hint="eastAsia" w:ascii="宋体" w:hAnsi="宋体" w:eastAsia="宋体" w:cs="宋体"/>
          <w:b w:val="0"/>
          <w:bCs w:val="0"/>
          <w:i w:val="0"/>
          <w:iCs/>
          <w:color w:val="auto"/>
          <w:kern w:val="0"/>
          <w:sz w:val="21"/>
          <w:szCs w:val="21"/>
          <w:highlight w:val="none"/>
          <w:u w:val="single" w:color="auto"/>
        </w:rPr>
        <w:t>微型企业</w:t>
      </w:r>
      <w:r>
        <w:rPr>
          <w:rFonts w:hint="eastAsia" w:ascii="宋体" w:hAnsi="宋体" w:cs="宋体"/>
          <w:b w:val="0"/>
          <w:bCs w:val="0"/>
          <w:i w:val="0"/>
          <w:iCs/>
          <w:color w:val="auto"/>
          <w:kern w:val="0"/>
          <w:sz w:val="21"/>
          <w:szCs w:val="21"/>
          <w:highlight w:val="none"/>
          <w:u w:val="single" w:color="auto"/>
          <w:lang w:val="en-US" w:eastAsia="zh-CN"/>
        </w:rPr>
        <w:t xml:space="preserve">  </w:t>
      </w:r>
      <w:r>
        <w:rPr>
          <w:rFonts w:hint="eastAsia" w:ascii="宋体" w:hAnsi="宋体" w:eastAsia="宋体" w:cs="宋体"/>
          <w:b w:val="0"/>
          <w:bCs w:val="0"/>
          <w:color w:val="auto"/>
          <w:kern w:val="0"/>
          <w:sz w:val="21"/>
          <w:szCs w:val="21"/>
          <w:highlight w:val="none"/>
        </w:rPr>
        <w:t>；</w:t>
      </w:r>
    </w:p>
    <w:p w14:paraId="2C53BA5B">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504"/>
        <w:textAlignment w:val="auto"/>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w:t>
      </w:r>
    </w:p>
    <w:p w14:paraId="22FB28B2">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right="360" w:firstLine="480"/>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以上企业，不属于大企业的分支机构，不存在控股股东为大企业的情形，也不存在与大企业的负责人为同一人的情形。</w:t>
      </w:r>
    </w:p>
    <w:p w14:paraId="43C0E50F">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right="360" w:firstLine="480"/>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本企业对上述声明内容的真实性负责。如有虚假，将依法承担相应责任。</w:t>
      </w:r>
    </w:p>
    <w:p w14:paraId="44793394">
      <w:pPr>
        <w:pStyle w:val="17"/>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pacing w:val="6"/>
          <w:sz w:val="21"/>
          <w:szCs w:val="21"/>
          <w:highlight w:val="none"/>
        </w:rPr>
      </w:pPr>
    </w:p>
    <w:p w14:paraId="248E9597">
      <w:pPr>
        <w:keepNext w:val="0"/>
        <w:keepLines w:val="0"/>
        <w:pageBreakBefore w:val="0"/>
        <w:widowControl w:val="0"/>
        <w:shd w:val="clear" w:color="auto" w:fill="auto"/>
        <w:kinsoku/>
        <w:wordWrap w:val="0"/>
        <w:overflowPunct/>
        <w:topLinePunct/>
        <w:autoSpaceDE/>
        <w:autoSpaceDN/>
        <w:bidi w:val="0"/>
        <w:adjustRightInd w:val="0"/>
        <w:snapToGrid w:val="0"/>
        <w:spacing w:line="360" w:lineRule="auto"/>
        <w:ind w:right="360"/>
        <w:jc w:val="both"/>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rPr>
        <w:t>企业名称：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0FB4D426">
      <w:pPr>
        <w:keepNext w:val="0"/>
        <w:keepLines w:val="0"/>
        <w:pageBreakBefore w:val="0"/>
        <w:widowControl w:val="0"/>
        <w:shd w:val="clear" w:color="auto" w:fill="auto"/>
        <w:kinsoku/>
        <w:wordWrap w:val="0"/>
        <w:overflowPunct/>
        <w:topLinePunct/>
        <w:autoSpaceDE/>
        <w:autoSpaceDN/>
        <w:bidi w:val="0"/>
        <w:adjustRightInd w:val="0"/>
        <w:snapToGrid w:val="0"/>
        <w:spacing w:line="360" w:lineRule="auto"/>
        <w:ind w:right="360"/>
        <w:jc w:val="both"/>
        <w:textAlignment w:val="auto"/>
        <w:outlineLvl w:val="9"/>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rPr>
        <w:t>日 期：</w:t>
      </w:r>
      <w:r>
        <w:rPr>
          <w:rFonts w:hint="eastAsia" w:ascii="宋体" w:hAnsi="宋体" w:eastAsia="宋体" w:cs="宋体"/>
          <w:color w:val="auto"/>
          <w:sz w:val="21"/>
          <w:szCs w:val="21"/>
          <w:highlight w:val="none"/>
          <w:u w:val="none"/>
          <w:lang w:val="en-US" w:eastAsia="zh-CN"/>
        </w:rPr>
        <w:t xml:space="preserve">   年    月    日</w:t>
      </w:r>
    </w:p>
    <w:p w14:paraId="120C8AC1">
      <w:pPr>
        <w:keepNext w:val="0"/>
        <w:keepLines w:val="0"/>
        <w:pageBreakBefore w:val="0"/>
        <w:widowControl w:val="0"/>
        <w:kinsoku/>
        <w:wordWrap/>
        <w:overflowPunct/>
        <w:topLinePunct/>
        <w:autoSpaceDE/>
        <w:autoSpaceDN/>
        <w:bidi w:val="0"/>
        <w:adjustRightInd w:val="0"/>
        <w:snapToGrid w:val="0"/>
        <w:spacing w:line="360" w:lineRule="auto"/>
        <w:textAlignment w:val="auto"/>
        <w:outlineLvl w:val="9"/>
        <w:rPr>
          <w:rFonts w:hint="eastAsia"/>
          <w:color w:val="auto"/>
          <w:highlight w:val="none"/>
        </w:rPr>
      </w:pPr>
    </w:p>
    <w:p w14:paraId="609AB447">
      <w:pPr>
        <w:keepNext w:val="0"/>
        <w:keepLines w:val="0"/>
        <w:pageBreakBefore w:val="0"/>
        <w:widowControl w:val="0"/>
        <w:kinsoku/>
        <w:wordWrap/>
        <w:overflowPunct/>
        <w:topLinePunct/>
        <w:autoSpaceDE/>
        <w:autoSpaceDN/>
        <w:bidi w:val="0"/>
        <w:adjustRightInd w:val="0"/>
        <w:snapToGrid w:val="0"/>
        <w:spacing w:line="360" w:lineRule="auto"/>
        <w:textAlignment w:val="auto"/>
        <w:outlineLvl w:val="9"/>
        <w:rPr>
          <w:rFonts w:hint="eastAsia"/>
          <w:color w:val="auto"/>
          <w:highlight w:val="none"/>
          <w:lang w:val="en-US" w:eastAsia="zh-CN"/>
        </w:rPr>
      </w:pPr>
    </w:p>
    <w:p w14:paraId="42D8F5AF">
      <w:pPr>
        <w:keepNext w:val="0"/>
        <w:keepLines w:val="0"/>
        <w:pageBreakBefore w:val="0"/>
        <w:widowControl w:val="0"/>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w:t>
      </w:r>
      <w:r>
        <w:rPr>
          <w:rFonts w:hint="eastAsia" w:ascii="宋体" w:hAnsi="宋体" w:eastAsia="宋体" w:cs="宋体"/>
          <w:color w:val="auto"/>
          <w:spacing w:val="6"/>
          <w:sz w:val="21"/>
          <w:szCs w:val="21"/>
          <w:highlight w:val="none"/>
          <w:vertAlign w:val="superscript"/>
        </w:rPr>
        <w:t>1</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lang w:val="en-US" w:eastAsia="zh-CN"/>
        </w:rPr>
        <w:t>从业人员、营业收入、资产总额填报上一年度数据，无上一年度数据的新成立企业可不填报。</w:t>
      </w:r>
    </w:p>
    <w:p w14:paraId="5AE0338D">
      <w:pPr>
        <w:keepNext w:val="0"/>
        <w:keepLines w:val="0"/>
        <w:pageBreakBefore w:val="0"/>
        <w:widowControl w:val="0"/>
        <w:kinsoku/>
        <w:wordWrap/>
        <w:overflowPunct/>
        <w:topLinePunct/>
        <w:autoSpaceDE/>
        <w:autoSpaceDN/>
        <w:bidi w:val="0"/>
        <w:adjustRightInd w:val="0"/>
        <w:snapToGrid w:val="0"/>
        <w:spacing w:before="157" w:beforeLines="50" w:after="157" w:afterLines="50" w:line="360" w:lineRule="auto"/>
        <w:jc w:val="center"/>
        <w:textAlignment w:val="auto"/>
        <w:rPr>
          <w:rFonts w:hint="eastAsia" w:ascii="宋体" w:hAnsi="宋体" w:eastAsia="宋体" w:cs="宋体"/>
          <w:b/>
          <w:bCs/>
          <w:color w:val="auto"/>
          <w:sz w:val="28"/>
          <w:szCs w:val="28"/>
          <w:highlight w:val="none"/>
        </w:rPr>
      </w:pPr>
    </w:p>
    <w:p w14:paraId="6756FC90">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5E8DA1B">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2-1残疾人福利性单位声明函（实质性格式）</w:t>
      </w:r>
    </w:p>
    <w:p w14:paraId="28C1AD4B">
      <w:pPr>
        <w:keepNext w:val="0"/>
        <w:keepLines w:val="0"/>
        <w:pageBreakBefore w:val="0"/>
        <w:widowControl w:val="0"/>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残疾人福利性单位声明函</w:t>
      </w:r>
    </w:p>
    <w:p w14:paraId="14612DA6">
      <w:pPr>
        <w:keepNext w:val="0"/>
        <w:keepLines w:val="0"/>
        <w:pageBreakBefore w:val="0"/>
        <w:widowControl w:val="0"/>
        <w:shd w:val="clear"/>
        <w:kinsoku/>
        <w:wordWrap/>
        <w:overflowPunct/>
        <w:topLinePunct/>
        <w:autoSpaceDE/>
        <w:autoSpaceDN/>
        <w:bidi w:val="0"/>
        <w:adjustRightInd w:val="0"/>
        <w:snapToGrid w:val="0"/>
        <w:spacing w:line="360" w:lineRule="auto"/>
        <w:ind w:firstLine="504"/>
        <w:textAlignment w:val="auto"/>
        <w:outlineLvl w:val="9"/>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本单位郑重声明，根据《财政部民政部中国残疾人联合会关于促进残疾人就业政府采购政策的通知》（财库</w:t>
      </w:r>
      <w:r>
        <w:rPr>
          <w:rFonts w:hint="eastAsia" w:ascii="宋体" w:hAnsi="宋体" w:eastAsia="宋体" w:cs="宋体"/>
          <w:color w:val="auto"/>
          <w:sz w:val="21"/>
          <w:szCs w:val="21"/>
          <w:highlight w:val="none"/>
        </w:rPr>
        <w:t>〔2017〕141</w:t>
      </w:r>
      <w:r>
        <w:rPr>
          <w:rFonts w:hint="eastAsia" w:ascii="宋体" w:hAnsi="宋体" w:eastAsia="宋体" w:cs="宋体"/>
          <w:color w:val="auto"/>
          <w:spacing w:val="6"/>
          <w:sz w:val="21"/>
          <w:szCs w:val="21"/>
          <w:highlight w:val="none"/>
        </w:rPr>
        <w:t>号）的规定，</w:t>
      </w:r>
      <w:r>
        <w:rPr>
          <w:rFonts w:hint="eastAsia" w:ascii="宋体" w:hAnsi="宋体" w:eastAsia="宋体" w:cs="宋体"/>
          <w:b/>
          <w:bCs/>
          <w:color w:val="auto"/>
          <w:spacing w:val="6"/>
          <w:sz w:val="21"/>
          <w:szCs w:val="21"/>
          <w:highlight w:val="none"/>
        </w:rPr>
        <w:t>本单位属于符合条件的残疾人福利性单位</w:t>
      </w:r>
      <w:r>
        <w:rPr>
          <w:rFonts w:hint="eastAsia" w:ascii="宋体" w:hAnsi="宋体" w:eastAsia="宋体" w:cs="宋体"/>
          <w:b/>
          <w:color w:val="auto"/>
          <w:spacing w:val="6"/>
          <w:sz w:val="21"/>
          <w:szCs w:val="21"/>
          <w:highlight w:val="none"/>
        </w:rPr>
        <w:t>，</w:t>
      </w:r>
      <w:r>
        <w:rPr>
          <w:rFonts w:hint="eastAsia" w:ascii="宋体" w:hAnsi="宋体" w:eastAsia="宋体" w:cs="宋体"/>
          <w:color w:val="auto"/>
          <w:spacing w:val="6"/>
          <w:sz w:val="21"/>
          <w:szCs w:val="21"/>
          <w:highlight w:val="none"/>
        </w:rPr>
        <w:t>且本单位参加______单位的______项目采购活动提供本单位提供服务（由本单位承担工程/制造的货物），或者提供其他残疾人福利性单位制造的货物（不包括使用非残疾人福利性单位注册商标的货物）。</w:t>
      </w:r>
    </w:p>
    <w:p w14:paraId="1C63D64E">
      <w:pPr>
        <w:keepNext w:val="0"/>
        <w:keepLines w:val="0"/>
        <w:pageBreakBefore w:val="0"/>
        <w:widowControl w:val="0"/>
        <w:shd w:val="clear"/>
        <w:kinsoku/>
        <w:wordWrap/>
        <w:overflowPunct/>
        <w:topLinePunct/>
        <w:autoSpaceDE/>
        <w:autoSpaceDN/>
        <w:bidi w:val="0"/>
        <w:adjustRightInd w:val="0"/>
        <w:snapToGrid w:val="0"/>
        <w:spacing w:line="360" w:lineRule="auto"/>
        <w:ind w:firstLine="446" w:firstLineChars="200"/>
        <w:textAlignment w:val="auto"/>
        <w:outlineLvl w:val="9"/>
        <w:rPr>
          <w:rFonts w:hint="eastAsia" w:ascii="宋体" w:hAnsi="宋体" w:eastAsia="宋体" w:cs="宋体"/>
          <w:color w:val="auto"/>
          <w:spacing w:val="6"/>
          <w:sz w:val="21"/>
          <w:szCs w:val="21"/>
          <w:highlight w:val="none"/>
        </w:rPr>
      </w:pPr>
      <w:r>
        <w:rPr>
          <w:rFonts w:hint="eastAsia" w:ascii="宋体" w:hAnsi="宋体" w:eastAsia="宋体" w:cs="宋体"/>
          <w:b/>
          <w:color w:val="auto"/>
          <w:spacing w:val="6"/>
          <w:sz w:val="21"/>
          <w:szCs w:val="21"/>
          <w:highlight w:val="none"/>
        </w:rPr>
        <w:t>本单位对上述声明的真实性负责。如有虚假，将依法承担相应责任。</w:t>
      </w:r>
    </w:p>
    <w:p w14:paraId="607E167E">
      <w:pPr>
        <w:keepNext w:val="0"/>
        <w:keepLines w:val="0"/>
        <w:pageBreakBefore w:val="0"/>
        <w:widowControl w:val="0"/>
        <w:shd w:val="clear"/>
        <w:kinsoku/>
        <w:wordWrap/>
        <w:overflowPunct/>
        <w:topLinePunct/>
        <w:autoSpaceDE/>
        <w:autoSpaceDN/>
        <w:bidi w:val="0"/>
        <w:adjustRightInd w:val="0"/>
        <w:snapToGrid w:val="0"/>
        <w:spacing w:line="360" w:lineRule="auto"/>
        <w:ind w:firstLine="444" w:firstLineChars="200"/>
        <w:textAlignment w:val="auto"/>
        <w:outlineLvl w:val="9"/>
        <w:rPr>
          <w:rFonts w:hint="eastAsia" w:ascii="宋体" w:hAnsi="宋体" w:eastAsia="宋体" w:cs="宋体"/>
          <w:color w:val="auto"/>
          <w:spacing w:val="6"/>
          <w:sz w:val="21"/>
          <w:szCs w:val="21"/>
          <w:highlight w:val="none"/>
        </w:rPr>
      </w:pPr>
    </w:p>
    <w:p w14:paraId="134DEC69">
      <w:pPr>
        <w:keepNext w:val="0"/>
        <w:keepLines w:val="0"/>
        <w:pageBreakBefore w:val="0"/>
        <w:widowControl w:val="0"/>
        <w:shd w:val="clear"/>
        <w:kinsoku/>
        <w:wordWrap/>
        <w:overflowPunct/>
        <w:topLinePunct/>
        <w:autoSpaceDE/>
        <w:autoSpaceDN/>
        <w:bidi w:val="0"/>
        <w:adjustRightInd w:val="0"/>
        <w:snapToGrid w:val="0"/>
        <w:spacing w:line="360" w:lineRule="auto"/>
        <w:ind w:firstLine="444" w:firstLineChars="200"/>
        <w:textAlignment w:val="auto"/>
        <w:outlineLvl w:val="9"/>
        <w:rPr>
          <w:rFonts w:hint="eastAsia" w:ascii="宋体" w:hAnsi="宋体" w:eastAsia="宋体" w:cs="宋体"/>
          <w:color w:val="auto"/>
          <w:spacing w:val="6"/>
          <w:sz w:val="21"/>
          <w:szCs w:val="21"/>
          <w:highlight w:val="none"/>
        </w:rPr>
      </w:pPr>
    </w:p>
    <w:p w14:paraId="6CC37F18">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单位名称：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2FC56C39">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default"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rPr>
        <w:t>日  期：</w:t>
      </w:r>
      <w:r>
        <w:rPr>
          <w:rFonts w:hint="eastAsia" w:ascii="宋体" w:hAnsi="宋体" w:eastAsia="宋体" w:cs="宋体"/>
          <w:color w:val="auto"/>
          <w:spacing w:val="6"/>
          <w:sz w:val="21"/>
          <w:szCs w:val="21"/>
          <w:highlight w:val="none"/>
          <w:lang w:val="en-US" w:eastAsia="zh-CN"/>
        </w:rPr>
        <w:t xml:space="preserve">     年    月    日</w:t>
      </w:r>
    </w:p>
    <w:p w14:paraId="6B2BCF89">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37A1C1B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2-1 监狱企业证明文件</w:t>
      </w:r>
    </w:p>
    <w:p w14:paraId="12E0D1C1">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监狱企业须提供由省级以上监狱管理局（常州市含教育矫治局）、戒毒管理局（含新疆生产建设兵团）出具的属于监狱企业的证明文件。</w:t>
      </w:r>
    </w:p>
    <w:p w14:paraId="56AB610F">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br w:type="page"/>
      </w:r>
    </w:p>
    <w:p w14:paraId="25106B85">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说明：</w:t>
      </w:r>
    </w:p>
    <w:p w14:paraId="060E3B55">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（1）如本项目（包）专门面向中小/小微企业采购，必须提供《中小企业声明函》或者《残疾人福利性单位声明函》或者监狱企业证明文件，此时声明函属于实质性格式。</w:t>
      </w:r>
    </w:p>
    <w:p w14:paraId="3A981D9B">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（2）如本项目（包）</w:t>
      </w:r>
      <w:r>
        <w:rPr>
          <w:rFonts w:hint="eastAsia" w:ascii="宋体" w:hAnsi="宋体" w:cs="宋体"/>
          <w:b/>
          <w:bCs/>
          <w:color w:val="auto"/>
          <w:szCs w:val="21"/>
          <w:highlight w:val="none"/>
          <w:lang w:val="en-US" w:eastAsia="zh-CN"/>
        </w:rPr>
        <w:t>非</w:t>
      </w:r>
      <w:r>
        <w:rPr>
          <w:rFonts w:hint="eastAsia" w:ascii="宋体" w:hAnsi="宋体" w:eastAsia="宋体" w:cs="宋体"/>
          <w:b/>
          <w:bCs/>
          <w:color w:val="auto"/>
          <w:szCs w:val="21"/>
          <w:highlight w:val="none"/>
        </w:rPr>
        <w:t>专门面向中小企业预留采购份额，资格证明文件部分无需提供《中小企业声明函》或者《残疾人福利性单位声明函》或者监狱企业证明文件。如符合相关中小企业政策优惠条件，在编制环节的“价格扣除文件格式-企业报价折扣证明”中提供。</w:t>
      </w:r>
    </w:p>
    <w:p w14:paraId="587EAE75">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本项目（包）是预留部分采购项目预算专门面向中小企业采购，如是要求供应商以联合体形式参加采购活动，且联合体中中小企业承担的部分达到一定比例的，须提供《联合协议》；如是要求获得采购合同的供应商将采购项目中的一定比例分包给一家或者多家中小企业的，须提供《拟分包情况说明及分包意向协议》。</w:t>
      </w:r>
    </w:p>
    <w:p w14:paraId="5764E548">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（4）其他</w:t>
      </w:r>
    </w:p>
    <w:p w14:paraId="50409C2C">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1）中小企业、残疾人福利性单位参加政府采购活动，应当出具此格式文件，监狱企业</w:t>
      </w:r>
      <w:r>
        <w:rPr>
          <w:rFonts w:hint="eastAsia" w:ascii="宋体" w:hAnsi="宋体" w:eastAsia="宋体" w:cs="宋体"/>
          <w:b/>
          <w:bCs/>
          <w:color w:val="auto"/>
          <w:szCs w:val="21"/>
          <w:highlight w:val="none"/>
          <w:lang w:val="en-US" w:eastAsia="zh-CN"/>
        </w:rPr>
        <w:t>提供</w:t>
      </w:r>
      <w:r>
        <w:rPr>
          <w:rFonts w:hint="eastAsia" w:ascii="宋体" w:hAnsi="宋体" w:eastAsia="宋体" w:cs="宋体"/>
          <w:b/>
          <w:bCs/>
          <w:color w:val="auto"/>
          <w:szCs w:val="21"/>
          <w:highlight w:val="none"/>
        </w:rPr>
        <w:t>证明文件</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未提供的将不享受有关政策。《中小企业声明函》由参加政府采购活动的投标人出具。</w:t>
      </w:r>
      <w:r>
        <w:rPr>
          <w:rFonts w:hint="eastAsia" w:ascii="宋体" w:hAnsi="宋体" w:eastAsia="宋体" w:cs="宋体"/>
          <w:color w:val="auto"/>
          <w:szCs w:val="21"/>
          <w:highlight w:val="none"/>
        </w:rPr>
        <w:t>联合体投标的，《中小企业声明函》由牵头人出具。</w:t>
      </w:r>
    </w:p>
    <w:p w14:paraId="4D05BE77">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14:paraId="21AE85D4">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3）对于多标的的采购项目，投标人应充分、准确地了解所投产品制造企业信息。对相关情况了解不清楚的，不建议填报本声明函。</w:t>
      </w:r>
    </w:p>
    <w:p w14:paraId="38A52026">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4）中小企业认定标准以《关于印发中小企业划型标准规定的通知》（工信部联企业〔2011〕300号）文件规定为准。</w:t>
      </w:r>
    </w:p>
    <w:p w14:paraId="456A8642">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工信部网址：https://baosong.miit.gov.cn/ScaleTest）</w:t>
      </w:r>
    </w:p>
    <w:p w14:paraId="5A61B220">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6）小微企业、残疾人福利性单位未提供声明函的，监狱企业未提供证明的，价格分评审不予价格扣除。</w:t>
      </w:r>
    </w:p>
    <w:p w14:paraId="0AA303D7">
      <w:pPr>
        <w:keepNext w:val="0"/>
        <w:keepLines w:val="0"/>
        <w:pageBreakBefore w:val="0"/>
        <w:widowControl w:val="0"/>
        <w:shd w:val="clear" w:color="auto" w:fill="auto"/>
        <w:kinsoku/>
        <w:wordWrap/>
        <w:overflowPunct/>
        <w:topLinePunct/>
        <w:autoSpaceDE/>
        <w:autoSpaceDN/>
        <w:bidi w:val="0"/>
        <w:adjustRightInd w:val="0"/>
        <w:snapToGrid w:val="0"/>
        <w:spacing w:line="360" w:lineRule="auto"/>
        <w:ind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7）在货物采购项目中，供应商提供的货物既有大中型企业制造货物，也有小微企业制造货物的，不享受小微企业扶持政策，不予价格扣除。</w:t>
      </w:r>
    </w:p>
    <w:p w14:paraId="780D4114">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6C620BA">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二、商务技术文件格式</w:t>
      </w:r>
    </w:p>
    <w:p w14:paraId="00028563">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1"/>
        <w:rPr>
          <w:rFonts w:hint="eastAsia" w:ascii="宋体" w:hAnsi="宋体" w:eastAsia="宋体" w:cs="宋体"/>
          <w:color w:val="auto"/>
          <w:sz w:val="24"/>
          <w:szCs w:val="20"/>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投标函</w:t>
      </w:r>
      <w:r>
        <w:rPr>
          <w:rFonts w:hint="eastAsia" w:ascii="宋体" w:hAnsi="宋体" w:eastAsia="宋体" w:cs="宋体"/>
          <w:b/>
          <w:bCs/>
          <w:color w:val="auto"/>
          <w:sz w:val="24"/>
          <w:szCs w:val="20"/>
          <w:highlight w:val="none"/>
        </w:rPr>
        <w:t>（实质性格式）</w:t>
      </w:r>
    </w:p>
    <w:p w14:paraId="711E09F7">
      <w:pPr>
        <w:keepNext w:val="0"/>
        <w:keepLines w:val="0"/>
        <w:pageBreakBefore w:val="0"/>
        <w:widowControl w:val="0"/>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投标函</w:t>
      </w:r>
    </w:p>
    <w:p w14:paraId="0DEF2293">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致：</w:t>
      </w:r>
      <w:r>
        <w:rPr>
          <w:rFonts w:hint="eastAsia" w:ascii="宋体" w:hAnsi="宋体" w:cs="宋体"/>
          <w:color w:val="auto"/>
          <w:sz w:val="21"/>
          <w:szCs w:val="21"/>
          <w:highlight w:val="none"/>
          <w:u w:val="single"/>
          <w:lang w:val="en-US" w:eastAsia="zh-CN"/>
        </w:rPr>
        <w:t>常州市钟楼区机关事务管理中心、</w:t>
      </w:r>
      <w:r>
        <w:rPr>
          <w:rFonts w:hint="eastAsia" w:ascii="宋体" w:hAnsi="宋体" w:eastAsia="宋体" w:cs="宋体"/>
          <w:color w:val="auto"/>
          <w:sz w:val="21"/>
          <w:szCs w:val="21"/>
          <w:highlight w:val="none"/>
          <w:u w:val="single"/>
        </w:rPr>
        <w:t>常州青枫招标有限公司</w:t>
      </w:r>
    </w:p>
    <w:p w14:paraId="748DFBDD">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p>
    <w:p w14:paraId="7852165D">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我方参加你方就</w:t>
      </w:r>
      <w:r>
        <w:rPr>
          <w:rFonts w:hint="eastAsia" w:ascii="宋体" w:hAnsi="宋体" w:cs="宋体"/>
          <w:color w:val="auto"/>
          <w:sz w:val="21"/>
          <w:szCs w:val="21"/>
          <w:highlight w:val="none"/>
          <w:u w:val="single"/>
          <w:lang w:eastAsia="zh-CN"/>
        </w:rPr>
        <w:t>常州市钟楼区行政中心机关食堂餐饮服务及管理项目</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项目编号：JSZC-320404-QFZB-G2026-0012</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组织的招标活动，并对此项目进行投标。</w:t>
      </w:r>
    </w:p>
    <w:p w14:paraId="354102B8">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1.我方已详细审查全部招标文件，自愿参与投标并承诺如下：</w:t>
      </w:r>
    </w:p>
    <w:p w14:paraId="6B13FCC4">
      <w:pPr>
        <w:keepNext w:val="0"/>
        <w:keepLines w:val="0"/>
        <w:pageBreakBefore w:val="0"/>
        <w:widowControl w:val="0"/>
        <w:shd w:val="clear"/>
        <w:tabs>
          <w:tab w:val="left" w:pos="720"/>
          <w:tab w:val="left" w:pos="90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（1）本投标有效期为自提交投标文件的截止之日起60日历天。</w:t>
      </w:r>
    </w:p>
    <w:p w14:paraId="4493DB66">
      <w:pPr>
        <w:keepNext w:val="0"/>
        <w:keepLines w:val="0"/>
        <w:pageBreakBefore w:val="0"/>
        <w:widowControl w:val="0"/>
        <w:shd w:val="clear"/>
        <w:tabs>
          <w:tab w:val="left" w:pos="720"/>
          <w:tab w:val="left" w:pos="90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（2）除合同条款及采购需求偏离表列出的偏离外，我方响应招标文件的全部要求。</w:t>
      </w:r>
    </w:p>
    <w:p w14:paraId="35BB5DEA">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（3）我方已提供的全部文件资料是真实、准确的，并对此承担一切法律后果。</w:t>
      </w:r>
    </w:p>
    <w:p w14:paraId="3CB2AF40">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（4）如我方中标，我方将在法律规定的期限内与你方签订合同，按照招标文件要求提交履约保证金，并在合同约定的期限内完成合同规定的全部义务。</w:t>
      </w:r>
    </w:p>
    <w:p w14:paraId="0117C470">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2.其他补充条款（如有）：</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C2E9A3B">
      <w:pPr>
        <w:keepNext w:val="0"/>
        <w:keepLines w:val="0"/>
        <w:pageBreakBefore w:val="0"/>
        <w:widowControl w:val="0"/>
        <w:shd w:val="clear"/>
        <w:kinsoku/>
        <w:wordWrap/>
        <w:overflowPunct/>
        <w:topLinePunct/>
        <w:autoSpaceDE/>
        <w:autoSpaceDN/>
        <w:bidi w:val="0"/>
        <w:adjustRightInd w:val="0"/>
        <w:snapToGrid w:val="0"/>
        <w:spacing w:line="360" w:lineRule="auto"/>
        <w:ind w:firstLine="420" w:firstLineChars="200"/>
        <w:textAlignment w:val="auto"/>
        <w:outlineLvl w:val="9"/>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与本投标有关的一切正式往来信函请寄：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p w14:paraId="3F8D676C">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p>
    <w:p w14:paraId="4E07F259">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46149A19">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传真</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70A39CBE">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3D554275">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default"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电子函件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u w:val="single"/>
          <w:lang w:val="en-US" w:eastAsia="zh-CN"/>
        </w:rPr>
        <w:t xml:space="preserve">                       </w:t>
      </w:r>
    </w:p>
    <w:p w14:paraId="1BD7A94C">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left="420" w:firstLine="420" w:firstLineChars="200"/>
        <w:textAlignment w:val="auto"/>
        <w:outlineLvl w:val="9"/>
        <w:rPr>
          <w:rFonts w:hint="eastAsia" w:ascii="宋体" w:hAnsi="宋体" w:eastAsia="宋体" w:cs="宋体"/>
          <w:color w:val="auto"/>
          <w:sz w:val="21"/>
          <w:szCs w:val="21"/>
          <w:highlight w:val="none"/>
        </w:rPr>
      </w:pPr>
    </w:p>
    <w:p w14:paraId="2BBBE47F">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4A64B416">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日    </w:t>
      </w:r>
    </w:p>
    <w:p w14:paraId="2B017F96">
      <w:pPr>
        <w:keepNext w:val="0"/>
        <w:keepLines w:val="0"/>
        <w:pageBreakBefore w:val="0"/>
        <w:widowControl w:val="0"/>
        <w:shd w:val="clear"/>
        <w:kinsoku/>
        <w:wordWrap/>
        <w:overflowPunct/>
        <w:topLinePunct/>
        <w:autoSpaceDE/>
        <w:autoSpaceDN/>
        <w:bidi w:val="0"/>
        <w:adjustRightInd w:val="0"/>
        <w:snapToGrid w:val="0"/>
        <w:jc w:val="left"/>
        <w:outlineLvl w:val="9"/>
        <w:rPr>
          <w:rFonts w:hint="eastAsia" w:ascii="宋体" w:hAnsi="宋体" w:eastAsia="宋体" w:cs="宋体"/>
          <w:color w:val="auto"/>
          <w:sz w:val="21"/>
          <w:szCs w:val="21"/>
          <w:highlight w:val="none"/>
        </w:rPr>
      </w:pPr>
    </w:p>
    <w:p w14:paraId="58AFAD89">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7968D2D1">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法定代表人资格证明书（实质性格式）</w:t>
      </w:r>
    </w:p>
    <w:p w14:paraId="34F11062">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法定代表人资格证明书</w:t>
      </w:r>
    </w:p>
    <w:p w14:paraId="67403EE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单位名称</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6A0249FE">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地址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7D3AD51E">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姓名</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性别</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职务</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29696365">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（投标单位名称）</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的法定代表人。为参与</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（项目名称）</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的政府采购活动，签署、澄清确认、递交、撤回、修改上述项目的投标文件、进行合同谈判、签署合同和处理与之有关的一切事务。</w:t>
      </w:r>
    </w:p>
    <w:p w14:paraId="2CEF16AE">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47914C76">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p>
    <w:p w14:paraId="7D7981CA">
      <w:pPr>
        <w:pStyle w:val="8"/>
        <w:keepNext w:val="0"/>
        <w:keepLines w:val="0"/>
        <w:pageBreakBefore w:val="0"/>
        <w:widowControl w:val="0"/>
        <w:shd w:val="clear"/>
        <w:kinsoku/>
        <w:wordWrap/>
        <w:overflowPunct/>
        <w:topLinePunct/>
        <w:autoSpaceDE/>
        <w:autoSpaceDN/>
        <w:bidi w:val="0"/>
        <w:adjustRightInd w:val="0"/>
        <w:snapToGrid w:val="0"/>
        <w:spacing w:before="0" w:line="360" w:lineRule="auto"/>
        <w:ind w:right="-46"/>
        <w:textAlignment w:val="auto"/>
        <w:outlineLvl w:val="9"/>
        <w:rPr>
          <w:rFonts w:hint="eastAsia" w:ascii="宋体" w:hAnsi="宋体" w:eastAsia="宋体" w:cs="宋体"/>
          <w:color w:val="auto"/>
          <w:spacing w:val="-3"/>
          <w:sz w:val="21"/>
          <w:szCs w:val="21"/>
          <w:highlight w:val="none"/>
        </w:rPr>
      </w:pPr>
      <w:r>
        <w:rPr>
          <w:rFonts w:hint="eastAsia" w:ascii="宋体" w:hAnsi="宋体" w:eastAsia="宋体" w:cs="宋体"/>
          <w:color w:val="auto"/>
          <w:sz w:val="21"/>
          <w:szCs w:val="21"/>
          <w:highlight w:val="none"/>
        </w:rPr>
        <w:t>附：</w:t>
      </w:r>
      <w:r>
        <w:rPr>
          <w:rFonts w:hint="eastAsia" w:ascii="宋体" w:hAnsi="宋体" w:eastAsia="宋体" w:cs="宋体"/>
          <w:color w:val="auto"/>
          <w:spacing w:val="-3"/>
          <w:sz w:val="21"/>
          <w:szCs w:val="21"/>
          <w:highlight w:val="none"/>
        </w:rPr>
        <w:t>法</w:t>
      </w:r>
      <w:r>
        <w:rPr>
          <w:rFonts w:hint="eastAsia" w:ascii="宋体" w:hAnsi="宋体" w:eastAsia="宋体" w:cs="宋体"/>
          <w:color w:val="auto"/>
          <w:sz w:val="21"/>
          <w:szCs w:val="21"/>
          <w:highlight w:val="none"/>
        </w:rPr>
        <w:t>定</w:t>
      </w:r>
      <w:r>
        <w:rPr>
          <w:rFonts w:hint="eastAsia" w:ascii="宋体" w:hAnsi="宋体" w:eastAsia="宋体" w:cs="宋体"/>
          <w:color w:val="auto"/>
          <w:spacing w:val="-3"/>
          <w:sz w:val="21"/>
          <w:szCs w:val="21"/>
          <w:highlight w:val="none"/>
        </w:rPr>
        <w:t>代</w:t>
      </w:r>
      <w:r>
        <w:rPr>
          <w:rFonts w:hint="eastAsia" w:ascii="宋体" w:hAnsi="宋体" w:eastAsia="宋体" w:cs="宋体"/>
          <w:color w:val="auto"/>
          <w:sz w:val="21"/>
          <w:szCs w:val="21"/>
          <w:highlight w:val="none"/>
        </w:rPr>
        <w:t>表</w:t>
      </w:r>
      <w:r>
        <w:rPr>
          <w:rFonts w:hint="eastAsia" w:ascii="宋体" w:hAnsi="宋体" w:eastAsia="宋体" w:cs="宋体"/>
          <w:color w:val="auto"/>
          <w:spacing w:val="-3"/>
          <w:sz w:val="21"/>
          <w:szCs w:val="21"/>
          <w:highlight w:val="none"/>
        </w:rPr>
        <w:t>人</w:t>
      </w:r>
      <w:r>
        <w:rPr>
          <w:rFonts w:hint="eastAsia" w:ascii="宋体" w:hAnsi="宋体" w:eastAsia="宋体" w:cs="宋体"/>
          <w:color w:val="auto"/>
          <w:sz w:val="21"/>
          <w:szCs w:val="21"/>
          <w:highlight w:val="none"/>
        </w:rPr>
        <w:t>（</w:t>
      </w:r>
      <w:r>
        <w:rPr>
          <w:rFonts w:hint="eastAsia" w:ascii="宋体" w:hAnsi="宋体" w:eastAsia="宋体" w:cs="宋体"/>
          <w:color w:val="auto"/>
          <w:spacing w:val="-3"/>
          <w:sz w:val="21"/>
          <w:szCs w:val="21"/>
          <w:highlight w:val="none"/>
        </w:rPr>
        <w:t>单</w:t>
      </w:r>
      <w:r>
        <w:rPr>
          <w:rFonts w:hint="eastAsia" w:ascii="宋体" w:hAnsi="宋体" w:eastAsia="宋体" w:cs="宋体"/>
          <w:color w:val="auto"/>
          <w:sz w:val="21"/>
          <w:szCs w:val="21"/>
          <w:highlight w:val="none"/>
        </w:rPr>
        <w:t>位</w:t>
      </w:r>
      <w:r>
        <w:rPr>
          <w:rFonts w:hint="eastAsia" w:ascii="宋体" w:hAnsi="宋体" w:eastAsia="宋体" w:cs="宋体"/>
          <w:color w:val="auto"/>
          <w:spacing w:val="-3"/>
          <w:sz w:val="21"/>
          <w:szCs w:val="21"/>
          <w:highlight w:val="none"/>
        </w:rPr>
        <w:t>负</w:t>
      </w:r>
      <w:r>
        <w:rPr>
          <w:rFonts w:hint="eastAsia" w:ascii="宋体" w:hAnsi="宋体" w:eastAsia="宋体" w:cs="宋体"/>
          <w:color w:val="auto"/>
          <w:sz w:val="21"/>
          <w:szCs w:val="21"/>
          <w:highlight w:val="none"/>
        </w:rPr>
        <w:t>责人</w:t>
      </w:r>
      <w:r>
        <w:rPr>
          <w:rFonts w:hint="eastAsia" w:ascii="宋体" w:hAnsi="宋体" w:eastAsia="宋体" w:cs="宋体"/>
          <w:color w:val="auto"/>
          <w:spacing w:val="-3"/>
          <w:sz w:val="21"/>
          <w:szCs w:val="21"/>
          <w:highlight w:val="none"/>
        </w:rPr>
        <w:t>）有效期内的身份证正反面</w:t>
      </w:r>
      <w:r>
        <w:rPr>
          <w:rFonts w:hint="eastAsia" w:ascii="宋体" w:hAnsi="宋体" w:eastAsia="宋体" w:cs="宋体"/>
          <w:color w:val="auto"/>
          <w:spacing w:val="-3"/>
          <w:sz w:val="21"/>
          <w:szCs w:val="21"/>
          <w:highlight w:val="none"/>
          <w:lang w:eastAsia="zh-CN"/>
        </w:rPr>
        <w:t>复印</w:t>
      </w:r>
      <w:r>
        <w:rPr>
          <w:rFonts w:hint="eastAsia" w:ascii="宋体" w:hAnsi="宋体" w:eastAsia="宋体" w:cs="宋体"/>
          <w:color w:val="auto"/>
          <w:spacing w:val="-3"/>
          <w:sz w:val="21"/>
          <w:szCs w:val="21"/>
          <w:highlight w:val="none"/>
        </w:rPr>
        <w:t>件</w:t>
      </w:r>
    </w:p>
    <w:tbl>
      <w:tblPr>
        <w:tblStyle w:val="18"/>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45452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9" w:hRule="atLeast"/>
        </w:trPr>
        <w:tc>
          <w:tcPr>
            <w:tcW w:w="4673" w:type="dxa"/>
            <w:noWrap w:val="0"/>
            <w:vAlign w:val="center"/>
          </w:tcPr>
          <w:p w14:paraId="745269B2">
            <w:pPr>
              <w:keepNext w:val="0"/>
              <w:keepLines w:val="0"/>
              <w:pageBreakBefore w:val="0"/>
              <w:widowControl w:val="0"/>
              <w:suppressLineNumbers w:val="0"/>
              <w:shd w:val="clear"/>
              <w:tabs>
                <w:tab w:val="left" w:pos="5580"/>
              </w:tabs>
              <w:kinsoku/>
              <w:wordWrap/>
              <w:overflowPunct/>
              <w:topLinePunct/>
              <w:autoSpaceDE/>
              <w:autoSpaceDN/>
              <w:bidi w:val="0"/>
              <w:adjustRightInd w:val="0"/>
              <w:snapToGrid w:val="0"/>
              <w:spacing w:before="0" w:beforeAutospacing="0" w:after="0" w:afterAutospacing="0" w:line="360" w:lineRule="auto"/>
              <w:ind w:left="0" w:right="0"/>
              <w:jc w:val="center"/>
              <w:textAlignment w:val="auto"/>
              <w:outlineLvl w:val="9"/>
              <w:rPr>
                <w:rFonts w:hint="eastAsia" w:ascii="宋体" w:hAnsi="宋体" w:eastAsia="宋体" w:cs="宋体"/>
                <w:color w:val="auto"/>
                <w:sz w:val="21"/>
                <w:szCs w:val="21"/>
                <w:highlight w:val="none"/>
              </w:rPr>
            </w:pPr>
          </w:p>
        </w:tc>
        <w:tc>
          <w:tcPr>
            <w:tcW w:w="4536" w:type="dxa"/>
            <w:noWrap w:val="0"/>
            <w:vAlign w:val="center"/>
          </w:tcPr>
          <w:p w14:paraId="4A730CF9">
            <w:pPr>
              <w:keepNext w:val="0"/>
              <w:keepLines w:val="0"/>
              <w:pageBreakBefore w:val="0"/>
              <w:widowControl w:val="0"/>
              <w:suppressLineNumbers w:val="0"/>
              <w:shd w:val="clear"/>
              <w:tabs>
                <w:tab w:val="left" w:pos="5580"/>
              </w:tabs>
              <w:kinsoku/>
              <w:wordWrap/>
              <w:overflowPunct/>
              <w:topLinePunct/>
              <w:autoSpaceDE/>
              <w:autoSpaceDN/>
              <w:bidi w:val="0"/>
              <w:adjustRightInd w:val="0"/>
              <w:snapToGrid w:val="0"/>
              <w:spacing w:before="0" w:beforeAutospacing="0" w:after="0" w:afterAutospacing="0" w:line="360" w:lineRule="auto"/>
              <w:ind w:left="0" w:right="0"/>
              <w:jc w:val="center"/>
              <w:textAlignment w:val="auto"/>
              <w:outlineLvl w:val="9"/>
              <w:rPr>
                <w:rFonts w:hint="eastAsia" w:ascii="宋体" w:hAnsi="宋体" w:eastAsia="宋体" w:cs="宋体"/>
                <w:color w:val="auto"/>
                <w:sz w:val="21"/>
                <w:szCs w:val="21"/>
                <w:highlight w:val="none"/>
              </w:rPr>
            </w:pPr>
          </w:p>
        </w:tc>
      </w:tr>
    </w:tbl>
    <w:p w14:paraId="0FDF0E00">
      <w:pPr>
        <w:keepNext w:val="0"/>
        <w:keepLines w:val="0"/>
        <w:pageBreakBefore w:val="0"/>
        <w:widowControl w:val="0"/>
        <w:shd w:val="clear"/>
        <w:kinsoku/>
        <w:wordWrap/>
        <w:overflowPunct/>
        <w:topLinePunct/>
        <w:autoSpaceDE/>
        <w:autoSpaceDN/>
        <w:bidi w:val="0"/>
        <w:adjustRightInd w:val="0"/>
        <w:snapToGrid w:val="0"/>
        <w:spacing w:line="360" w:lineRule="auto"/>
        <w:ind w:firstLine="3990" w:firstLineChars="1900"/>
        <w:textAlignment w:val="auto"/>
        <w:outlineLvl w:val="9"/>
        <w:rPr>
          <w:rFonts w:hint="eastAsia" w:ascii="宋体" w:hAnsi="宋体" w:eastAsia="宋体" w:cs="宋体"/>
          <w:color w:val="auto"/>
          <w:sz w:val="21"/>
          <w:szCs w:val="21"/>
          <w:highlight w:val="none"/>
        </w:rPr>
      </w:pPr>
    </w:p>
    <w:p w14:paraId="617E8056">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3820C066">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w:t>
      </w:r>
      <w:r>
        <w:rPr>
          <w:rFonts w:hint="eastAsia" w:ascii="宋体" w:hAnsi="宋体" w:cs="宋体"/>
          <w:color w:val="auto"/>
          <w:sz w:val="21"/>
          <w:szCs w:val="21"/>
          <w:highlight w:val="none"/>
          <w:lang w:val="en-US" w:eastAsia="zh-CN"/>
        </w:rPr>
        <w:t>签字或盖章</w:t>
      </w:r>
      <w:r>
        <w:rPr>
          <w:rFonts w:hint="eastAsia" w:ascii="宋体" w:hAnsi="宋体" w:eastAsia="宋体" w:cs="宋体"/>
          <w:color w:val="auto"/>
          <w:sz w:val="21"/>
          <w:szCs w:val="21"/>
          <w:highlight w:val="none"/>
        </w:rPr>
        <w:t>：</w:t>
      </w:r>
    </w:p>
    <w:p w14:paraId="272D7554">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200EC0CD">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p>
    <w:p w14:paraId="4E12DF01">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p>
    <w:p w14:paraId="506B5A6C">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184CA7D3">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1.若供应商为事业单位或其他组织或分支机构（仅当</w:t>
      </w:r>
      <w:r>
        <w:rPr>
          <w:rFonts w:hint="eastAsia" w:ascii="宋体" w:hAnsi="宋体" w:cs="宋体"/>
          <w:color w:val="auto"/>
          <w:sz w:val="21"/>
          <w:szCs w:val="21"/>
          <w:highlight w:val="none"/>
          <w:lang w:eastAsia="zh-CN"/>
        </w:rPr>
        <w:t>招标文件</w:t>
      </w:r>
      <w:r>
        <w:rPr>
          <w:rFonts w:hint="eastAsia" w:ascii="宋体" w:hAnsi="宋体" w:eastAsia="宋体" w:cs="宋体"/>
          <w:color w:val="auto"/>
          <w:sz w:val="21"/>
          <w:szCs w:val="21"/>
          <w:highlight w:val="none"/>
        </w:rPr>
        <w:t>注明允许分支机构响应的），则法定代表人（单位负责人）处的签署人可为单位负责人。</w:t>
      </w:r>
    </w:p>
    <w:p w14:paraId="46B08097">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2.供应商为自然人的情形，可不提供本《法定代表人资格证明书》。</w:t>
      </w:r>
    </w:p>
    <w:p w14:paraId="36FE99BF">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62B8F00">
      <w:pPr>
        <w:keepNext w:val="0"/>
        <w:keepLines w:val="0"/>
        <w:pageBreakBefore w:val="0"/>
        <w:widowControl w:val="0"/>
        <w:shd w:val="clear"/>
        <w:kinsoku/>
        <w:wordWrap/>
        <w:overflowPunct/>
        <w:topLinePunct/>
        <w:autoSpaceDE/>
        <w:autoSpaceDN/>
        <w:bidi w:val="0"/>
        <w:adjustRightInd w:val="0"/>
        <w:snapToGrid w:val="0"/>
        <w:spacing w:line="360" w:lineRule="auto"/>
        <w:jc w:val="left"/>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 xml:space="preserve">3  </w:t>
      </w:r>
      <w:r>
        <w:rPr>
          <w:rFonts w:hint="eastAsia" w:ascii="宋体" w:hAnsi="宋体" w:eastAsia="宋体" w:cs="宋体"/>
          <w:b/>
          <w:bCs/>
          <w:color w:val="auto"/>
          <w:kern w:val="2"/>
          <w:sz w:val="24"/>
          <w:szCs w:val="24"/>
          <w:highlight w:val="none"/>
          <w:lang w:val="en-US" w:eastAsia="zh-CN" w:bidi="ar-SA"/>
        </w:rPr>
        <w:t>授权委托书（如有，实质性格式）</w:t>
      </w:r>
    </w:p>
    <w:p w14:paraId="22685CE6">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baseline"/>
        <w:outlineLvl w:val="9"/>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授权委托书</w:t>
      </w:r>
    </w:p>
    <w:p w14:paraId="7B97B95A">
      <w:pPr>
        <w:keepNext w:val="0"/>
        <w:keepLines w:val="0"/>
        <w:pageBreakBefore w:val="0"/>
        <w:widowControl w:val="0"/>
        <w:shd w:val="clear"/>
        <w:kinsoku/>
        <w:wordWrap/>
        <w:overflowPunct/>
        <w:topLinePunct/>
        <w:autoSpaceDE/>
        <w:autoSpaceDN/>
        <w:bidi w:val="0"/>
        <w:adjustRightInd w:val="0"/>
        <w:snapToGrid w:val="0"/>
        <w:spacing w:line="360" w:lineRule="auto"/>
        <w:ind w:firstLine="451" w:firstLineChars="215"/>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本授权委托书声明：本人 </w:t>
      </w:r>
      <w:r>
        <w:rPr>
          <w:rFonts w:hint="eastAsia" w:ascii="宋体" w:hAnsi="宋体" w:eastAsia="宋体" w:cs="宋体"/>
          <w:color w:val="auto"/>
          <w:sz w:val="21"/>
          <w:szCs w:val="21"/>
          <w:highlight w:val="none"/>
          <w:u w:val="single"/>
        </w:rPr>
        <w:t xml:space="preserve">  （法定代表人姓名）   </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投标人</w:t>
      </w:r>
      <w:r>
        <w:rPr>
          <w:rFonts w:hint="eastAsia" w:ascii="宋体" w:hAnsi="宋体" w:eastAsia="宋体" w:cs="宋体"/>
          <w:color w:val="auto"/>
          <w:sz w:val="21"/>
          <w:szCs w:val="21"/>
          <w:highlight w:val="none"/>
          <w:u w:val="single"/>
        </w:rPr>
        <w:t xml:space="preserve">名称）      </w:t>
      </w:r>
      <w:r>
        <w:rPr>
          <w:rFonts w:hint="eastAsia" w:ascii="宋体" w:hAnsi="宋体" w:eastAsia="宋体" w:cs="宋体"/>
          <w:color w:val="auto"/>
          <w:sz w:val="21"/>
          <w:szCs w:val="21"/>
          <w:highlight w:val="none"/>
        </w:rPr>
        <w:t>的法定代表人，现授权委托</w:t>
      </w:r>
      <w:r>
        <w:rPr>
          <w:rFonts w:hint="eastAsia" w:ascii="宋体" w:hAnsi="宋体" w:eastAsia="宋体" w:cs="宋体"/>
          <w:color w:val="auto"/>
          <w:sz w:val="21"/>
          <w:szCs w:val="21"/>
          <w:highlight w:val="none"/>
          <w:u w:val="single"/>
        </w:rPr>
        <w:t xml:space="preserve">   （被授权人的姓名）    </w:t>
      </w:r>
      <w:r>
        <w:rPr>
          <w:rFonts w:hint="eastAsia" w:ascii="宋体" w:hAnsi="宋体" w:eastAsia="宋体" w:cs="宋体"/>
          <w:color w:val="auto"/>
          <w:sz w:val="21"/>
          <w:szCs w:val="21"/>
          <w:highlight w:val="none"/>
        </w:rPr>
        <w:t>为本次</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（项目名称）</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投标中我单位的合法代理人，全权负责参加本次采购项目的</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、签订合约以及与之相关的各项工作（含电子化不见面交易方式操作）。本单位对被授权人的签名负全部责任。本授权书在加盖公章、法定代表人签字或盖章之日起生效，特此声明。</w:t>
      </w:r>
    </w:p>
    <w:p w14:paraId="7E929279">
      <w:pPr>
        <w:keepNext w:val="0"/>
        <w:keepLines w:val="0"/>
        <w:pageBreakBefore w:val="0"/>
        <w:widowControl w:val="0"/>
        <w:shd w:val="clear"/>
        <w:kinsoku/>
        <w:wordWrap/>
        <w:overflowPunct/>
        <w:topLinePunct/>
        <w:autoSpaceDE/>
        <w:autoSpaceDN/>
        <w:bidi w:val="0"/>
        <w:adjustRightInd w:val="0"/>
        <w:snapToGrid w:val="0"/>
        <w:spacing w:line="360" w:lineRule="auto"/>
        <w:ind w:firstLine="397"/>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被授权人情况如下（必填）：</w:t>
      </w:r>
    </w:p>
    <w:p w14:paraId="069F6FB3">
      <w:pPr>
        <w:keepNext w:val="0"/>
        <w:keepLines w:val="0"/>
        <w:pageBreakBefore w:val="0"/>
        <w:widowControl w:val="0"/>
        <w:shd w:val="clear"/>
        <w:kinsoku/>
        <w:wordWrap/>
        <w:overflowPunct/>
        <w:topLinePunct/>
        <w:autoSpaceDE/>
        <w:autoSpaceDN/>
        <w:bidi w:val="0"/>
        <w:adjustRightInd w:val="0"/>
        <w:snapToGrid w:val="0"/>
        <w:spacing w:line="360" w:lineRule="auto"/>
        <w:ind w:firstLine="397"/>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；性别：</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2561BC6">
      <w:pPr>
        <w:keepNext w:val="0"/>
        <w:keepLines w:val="0"/>
        <w:pageBreakBefore w:val="0"/>
        <w:widowControl w:val="0"/>
        <w:shd w:val="clear"/>
        <w:kinsoku/>
        <w:wordWrap/>
        <w:overflowPunct/>
        <w:topLinePunct/>
        <w:autoSpaceDE/>
        <w:autoSpaceDN/>
        <w:bidi w:val="0"/>
        <w:adjustRightInd w:val="0"/>
        <w:snapToGrid w:val="0"/>
        <w:spacing w:line="360" w:lineRule="auto"/>
        <w:ind w:firstLine="397"/>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A58E6AF">
      <w:pPr>
        <w:keepNext w:val="0"/>
        <w:keepLines w:val="0"/>
        <w:pageBreakBefore w:val="0"/>
        <w:widowControl w:val="0"/>
        <w:shd w:val="clear"/>
        <w:kinsoku/>
        <w:wordWrap/>
        <w:overflowPunct/>
        <w:topLinePunct/>
        <w:autoSpaceDE/>
        <w:autoSpaceDN/>
        <w:bidi w:val="0"/>
        <w:adjustRightInd w:val="0"/>
        <w:snapToGrid w:val="0"/>
        <w:spacing w:line="360" w:lineRule="auto"/>
        <w:ind w:firstLine="4620" w:firstLineChars="2200"/>
        <w:outlineLvl w:val="9"/>
        <w:rPr>
          <w:rFonts w:hint="eastAsia" w:ascii="宋体" w:hAnsi="宋体" w:eastAsia="宋体" w:cs="宋体"/>
          <w:color w:val="auto"/>
          <w:sz w:val="21"/>
          <w:szCs w:val="21"/>
          <w:highlight w:val="none"/>
        </w:rPr>
      </w:pPr>
    </w:p>
    <w:p w14:paraId="73902A96">
      <w:pPr>
        <w:keepNext w:val="0"/>
        <w:keepLines w:val="0"/>
        <w:pageBreakBefore w:val="0"/>
        <w:widowControl w:val="0"/>
        <w:shd w:val="clear"/>
        <w:kinsoku/>
        <w:wordWrap/>
        <w:overflowPunct/>
        <w:topLinePunct/>
        <w:autoSpaceDE/>
        <w:autoSpaceDN/>
        <w:bidi w:val="0"/>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0DEB1720">
      <w:pPr>
        <w:keepNext w:val="0"/>
        <w:keepLines w:val="0"/>
        <w:pageBreakBefore w:val="0"/>
        <w:widowControl w:val="0"/>
        <w:shd w:val="clear"/>
        <w:kinsoku/>
        <w:wordWrap/>
        <w:overflowPunct/>
        <w:topLinePunct/>
        <w:autoSpaceDE/>
        <w:autoSpaceDN/>
        <w:bidi w:val="0"/>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法定代表人（单位负责人）签字或盖章：</w:t>
      </w:r>
    </w:p>
    <w:p w14:paraId="6717DA7A">
      <w:pPr>
        <w:keepNext w:val="0"/>
        <w:keepLines w:val="0"/>
        <w:pageBreakBefore w:val="0"/>
        <w:widowControl w:val="0"/>
        <w:shd w:val="clear"/>
        <w:kinsoku/>
        <w:wordWrap/>
        <w:overflowPunct/>
        <w:topLinePunct/>
        <w:autoSpaceDE/>
        <w:autoSpaceDN/>
        <w:bidi w:val="0"/>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7303D7BD">
      <w:pPr>
        <w:pStyle w:val="8"/>
        <w:keepNext w:val="0"/>
        <w:keepLines w:val="0"/>
        <w:pageBreakBefore w:val="0"/>
        <w:widowControl w:val="0"/>
        <w:kinsoku/>
        <w:wordWrap/>
        <w:overflowPunct/>
        <w:topLinePunct/>
        <w:autoSpaceDE/>
        <w:autoSpaceDN/>
        <w:bidi w:val="0"/>
        <w:adjustRightInd w:val="0"/>
        <w:snapToGrid w:val="0"/>
        <w:spacing w:before="0" w:line="360" w:lineRule="auto"/>
        <w:rPr>
          <w:rFonts w:hint="eastAsia"/>
          <w:color w:val="auto"/>
          <w:highlight w:val="none"/>
        </w:rPr>
      </w:pPr>
    </w:p>
    <w:p w14:paraId="26682057">
      <w:pPr>
        <w:keepNext w:val="0"/>
        <w:keepLines w:val="0"/>
        <w:pageBreakBefore w:val="0"/>
        <w:widowControl w:val="0"/>
        <w:shd w:val="clear"/>
        <w:kinsoku/>
        <w:wordWrap/>
        <w:overflowPunct/>
        <w:topLinePunct/>
        <w:autoSpaceDE/>
        <w:autoSpaceDN/>
        <w:bidi w:val="0"/>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附：被授权人</w:t>
      </w:r>
      <w:r>
        <w:rPr>
          <w:rFonts w:hint="eastAsia" w:ascii="宋体" w:hAnsi="宋体" w:eastAsia="宋体" w:cs="宋体"/>
          <w:color w:val="auto"/>
          <w:spacing w:val="-3"/>
          <w:sz w:val="21"/>
          <w:szCs w:val="21"/>
          <w:highlight w:val="none"/>
        </w:rPr>
        <w:t>有效期内的身份证正反面</w:t>
      </w:r>
      <w:r>
        <w:rPr>
          <w:rFonts w:hint="eastAsia" w:ascii="宋体" w:hAnsi="宋体" w:eastAsia="宋体" w:cs="宋体"/>
          <w:color w:val="auto"/>
          <w:sz w:val="21"/>
          <w:szCs w:val="21"/>
          <w:highlight w:val="none"/>
        </w:rPr>
        <w:t>复印件</w:t>
      </w:r>
    </w:p>
    <w:tbl>
      <w:tblPr>
        <w:tblStyle w:val="18"/>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3D882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9" w:hRule="atLeast"/>
        </w:trPr>
        <w:tc>
          <w:tcPr>
            <w:tcW w:w="4673" w:type="dxa"/>
            <w:noWrap w:val="0"/>
            <w:vAlign w:val="center"/>
          </w:tcPr>
          <w:p w14:paraId="767B7EB9">
            <w:pPr>
              <w:keepNext w:val="0"/>
              <w:keepLines w:val="0"/>
              <w:pageBreakBefore w:val="0"/>
              <w:widowControl w:val="0"/>
              <w:suppressLineNumbers w:val="0"/>
              <w:shd w:val="clear"/>
              <w:tabs>
                <w:tab w:val="left" w:pos="5580"/>
              </w:tabs>
              <w:kinsoku/>
              <w:wordWrap/>
              <w:overflowPunct/>
              <w:topLinePunct/>
              <w:autoSpaceDE/>
              <w:autoSpaceDN/>
              <w:bidi w:val="0"/>
              <w:adjustRightInd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4536" w:type="dxa"/>
            <w:noWrap w:val="0"/>
            <w:vAlign w:val="center"/>
          </w:tcPr>
          <w:p w14:paraId="571927C2">
            <w:pPr>
              <w:keepNext w:val="0"/>
              <w:keepLines w:val="0"/>
              <w:pageBreakBefore w:val="0"/>
              <w:widowControl w:val="0"/>
              <w:suppressLineNumbers w:val="0"/>
              <w:shd w:val="clear"/>
              <w:tabs>
                <w:tab w:val="left" w:pos="5580"/>
              </w:tabs>
              <w:kinsoku/>
              <w:wordWrap/>
              <w:overflowPunct/>
              <w:topLinePunct/>
              <w:autoSpaceDE/>
              <w:autoSpaceDN/>
              <w:bidi w:val="0"/>
              <w:adjustRightInd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r>
    </w:tbl>
    <w:p w14:paraId="01AA140B">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说明：</w:t>
      </w:r>
    </w:p>
    <w:p w14:paraId="3749C101">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1.若供应商为事业单位或其他组织或分支机构（仅当</w:t>
      </w:r>
      <w:r>
        <w:rPr>
          <w:rFonts w:hint="eastAsia" w:ascii="宋体" w:hAnsi="宋体" w:cs="宋体"/>
          <w:color w:val="auto"/>
          <w:sz w:val="21"/>
          <w:szCs w:val="21"/>
          <w:highlight w:val="none"/>
          <w:lang w:val="en-US" w:eastAsia="zh-CN"/>
        </w:rPr>
        <w:t>招标文</w:t>
      </w:r>
      <w:r>
        <w:rPr>
          <w:rFonts w:hint="eastAsia" w:ascii="宋体" w:hAnsi="宋体" w:eastAsia="宋体" w:cs="宋体"/>
          <w:color w:val="auto"/>
          <w:sz w:val="21"/>
          <w:szCs w:val="21"/>
          <w:highlight w:val="none"/>
          <w:lang w:val="en-US" w:eastAsia="zh-CN"/>
        </w:rPr>
        <w:t>件注明允许分支机构响应的），则法定代表人（单位负责人）处的签署人可为单位负责人。</w:t>
      </w:r>
    </w:p>
    <w:p w14:paraId="31CC2972">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非供应商法定代表人（或上述单位负责人情形）进行本项目电子化不见面交易方式操作的，应当提供本《授权委托书》。未提供的本《授权委托书》的，视同本项目由供应商法定代表人（或上述单位负责人情形）进行本项目电子化不见面交易方式操作。</w:t>
      </w:r>
    </w:p>
    <w:p w14:paraId="72871C41">
      <w:pPr>
        <w:keepNext w:val="0"/>
        <w:keepLines w:val="0"/>
        <w:pageBreakBefore w:val="0"/>
        <w:widowControl w:val="0"/>
        <w:shd w:val="clear"/>
        <w:tabs>
          <w:tab w:val="left" w:pos="5580"/>
        </w:tabs>
        <w:kinsoku/>
        <w:wordWrap/>
        <w:overflowPunct/>
        <w:topLinePunct/>
        <w:autoSpaceDE/>
        <w:autoSpaceDN/>
        <w:bidi w:val="0"/>
        <w:adjustRightInd w:val="0"/>
        <w:snapToGrid w:val="0"/>
        <w:spacing w:line="36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3.供应商为自然人的情形，可不提供本《授权委托书》。</w:t>
      </w:r>
    </w:p>
    <w:p w14:paraId="269E2E55">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br w:type="page"/>
      </w:r>
    </w:p>
    <w:p w14:paraId="6EF425E6">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1"/>
        <w:rPr>
          <w:rFonts w:hint="eastAsia" w:ascii="宋体" w:hAnsi="宋体" w:eastAsia="宋体" w:cs="宋体"/>
          <w:b/>
          <w:bCs/>
          <w:color w:val="auto"/>
          <w:sz w:val="24"/>
          <w:szCs w:val="20"/>
          <w:highlight w:val="none"/>
        </w:rPr>
      </w:pPr>
      <w:r>
        <w:rPr>
          <w:rFonts w:hint="eastAsia" w:ascii="宋体" w:hAnsi="宋体" w:cs="宋体"/>
          <w:b/>
          <w:bCs/>
          <w:color w:val="auto"/>
          <w:sz w:val="24"/>
          <w:szCs w:val="20"/>
          <w:highlight w:val="none"/>
          <w:lang w:val="en-US" w:eastAsia="zh-CN"/>
        </w:rPr>
        <w:t>4</w:t>
      </w:r>
      <w:r>
        <w:rPr>
          <w:rFonts w:hint="eastAsia" w:ascii="宋体" w:hAnsi="宋体" w:eastAsia="宋体" w:cs="宋体"/>
          <w:b/>
          <w:bCs/>
          <w:color w:val="auto"/>
          <w:sz w:val="24"/>
          <w:szCs w:val="20"/>
          <w:highlight w:val="none"/>
          <w:lang w:val="en-US" w:eastAsia="zh-CN"/>
        </w:rPr>
        <w:t xml:space="preserve">  </w:t>
      </w:r>
      <w:r>
        <w:rPr>
          <w:rFonts w:hint="eastAsia" w:ascii="宋体" w:hAnsi="宋体" w:cs="宋体"/>
          <w:b/>
          <w:bCs/>
          <w:color w:val="auto"/>
          <w:sz w:val="24"/>
          <w:szCs w:val="20"/>
          <w:highlight w:val="none"/>
          <w:lang w:val="en-US" w:eastAsia="zh-CN"/>
        </w:rPr>
        <w:t>报价一览</w:t>
      </w:r>
      <w:r>
        <w:rPr>
          <w:rFonts w:hint="eastAsia" w:ascii="宋体" w:hAnsi="宋体" w:eastAsia="宋体" w:cs="宋体"/>
          <w:b/>
          <w:bCs/>
          <w:color w:val="auto"/>
          <w:sz w:val="24"/>
          <w:szCs w:val="24"/>
          <w:highlight w:val="none"/>
        </w:rPr>
        <w:t>表</w:t>
      </w:r>
      <w:r>
        <w:rPr>
          <w:rFonts w:hint="eastAsia" w:ascii="宋体" w:hAnsi="宋体" w:eastAsia="宋体" w:cs="宋体"/>
          <w:b/>
          <w:bCs/>
          <w:color w:val="auto"/>
          <w:sz w:val="24"/>
          <w:szCs w:val="20"/>
          <w:highlight w:val="none"/>
        </w:rPr>
        <w:t>（实质性格式）</w:t>
      </w:r>
    </w:p>
    <w:p w14:paraId="3D5B2A51">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lang w:val="en-US" w:eastAsia="zh-CN"/>
        </w:rPr>
        <w:t>报价一览</w:t>
      </w:r>
      <w:r>
        <w:rPr>
          <w:rFonts w:hint="eastAsia" w:ascii="宋体" w:hAnsi="宋体" w:eastAsia="宋体" w:cs="宋体"/>
          <w:b/>
          <w:color w:val="auto"/>
          <w:sz w:val="28"/>
          <w:szCs w:val="28"/>
          <w:highlight w:val="none"/>
        </w:rPr>
        <w:t>表</w:t>
      </w:r>
    </w:p>
    <w:tbl>
      <w:tblPr>
        <w:tblStyle w:val="18"/>
        <w:tblW w:w="8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1080"/>
        <w:gridCol w:w="944"/>
        <w:gridCol w:w="2437"/>
        <w:gridCol w:w="1621"/>
        <w:gridCol w:w="1798"/>
      </w:tblGrid>
      <w:tr w14:paraId="181D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013" w:type="dxa"/>
            <w:gridSpan w:val="2"/>
            <w:noWrap w:val="0"/>
            <w:vAlign w:val="center"/>
          </w:tcPr>
          <w:p w14:paraId="2ACB3DA7">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tc>
        <w:tc>
          <w:tcPr>
            <w:tcW w:w="6800" w:type="dxa"/>
            <w:gridSpan w:val="4"/>
            <w:noWrap w:val="0"/>
            <w:vAlign w:val="center"/>
          </w:tcPr>
          <w:p w14:paraId="739298BC">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JSZC-320404-QFZB-G2026-0012</w:t>
            </w:r>
          </w:p>
        </w:tc>
      </w:tr>
      <w:tr w14:paraId="0AA1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013" w:type="dxa"/>
            <w:gridSpan w:val="2"/>
            <w:noWrap w:val="0"/>
            <w:vAlign w:val="center"/>
          </w:tcPr>
          <w:p w14:paraId="490C398B">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00" w:type="dxa"/>
            <w:gridSpan w:val="4"/>
            <w:noWrap w:val="0"/>
            <w:vAlign w:val="center"/>
          </w:tcPr>
          <w:p w14:paraId="1451D742">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常州市钟楼区行政中心机关食堂餐饮服务及管理项目</w:t>
            </w:r>
          </w:p>
        </w:tc>
      </w:tr>
      <w:tr w14:paraId="79B5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33" w:type="dxa"/>
            <w:vMerge w:val="restart"/>
            <w:noWrap w:val="0"/>
            <w:vAlign w:val="center"/>
          </w:tcPr>
          <w:p w14:paraId="7529C340">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w:t>
            </w:r>
          </w:p>
          <w:p w14:paraId="46F9ADFB">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标</w:t>
            </w:r>
          </w:p>
          <w:p w14:paraId="6183450C">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报</w:t>
            </w:r>
          </w:p>
          <w:p w14:paraId="5D00E03A">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价</w:t>
            </w:r>
          </w:p>
          <w:p w14:paraId="0595BD9E">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lang w:val="en-US" w:eastAsia="zh-CN"/>
              </w:rPr>
            </w:pPr>
          </w:p>
        </w:tc>
        <w:tc>
          <w:tcPr>
            <w:tcW w:w="1080" w:type="dxa"/>
            <w:vMerge w:val="restart"/>
            <w:noWrap w:val="0"/>
            <w:vAlign w:val="center"/>
          </w:tcPr>
          <w:p w14:paraId="4F4E3FA5">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黑体" w:hAnsi="黑体" w:eastAsia="黑体" w:cs="黑体"/>
                <w:b/>
                <w:bCs/>
                <w:color w:val="auto"/>
                <w:sz w:val="21"/>
                <w:szCs w:val="21"/>
                <w:highlight w:val="none"/>
                <w:lang w:val="en-US" w:eastAsia="zh-CN"/>
              </w:rPr>
            </w:pPr>
            <w:r>
              <w:rPr>
                <w:rFonts w:hint="eastAsia" w:ascii="黑体" w:hAnsi="黑体" w:eastAsia="黑体" w:cs="黑体"/>
                <w:b/>
                <w:bCs/>
                <w:color w:val="auto"/>
                <w:sz w:val="21"/>
                <w:szCs w:val="21"/>
                <w:highlight w:val="none"/>
                <w:lang w:val="en-US" w:eastAsia="zh-CN"/>
              </w:rPr>
              <w:t>三年度</w:t>
            </w:r>
          </w:p>
          <w:p w14:paraId="49C91889">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黑体" w:hAnsi="黑体" w:eastAsia="黑体" w:cs="黑体"/>
                <w:b/>
                <w:bCs/>
                <w:color w:val="auto"/>
                <w:sz w:val="21"/>
                <w:szCs w:val="21"/>
                <w:highlight w:val="none"/>
                <w:lang w:val="en-US" w:eastAsia="zh-CN"/>
              </w:rPr>
            </w:pPr>
            <w:r>
              <w:rPr>
                <w:rFonts w:hint="eastAsia" w:ascii="黑体" w:hAnsi="黑体" w:eastAsia="黑体" w:cs="黑体"/>
                <w:b/>
                <w:bCs/>
                <w:color w:val="auto"/>
                <w:sz w:val="21"/>
                <w:szCs w:val="21"/>
                <w:highlight w:val="none"/>
                <w:lang w:val="en-US" w:eastAsia="zh-CN"/>
              </w:rPr>
              <w:t>总报价</w:t>
            </w:r>
          </w:p>
          <w:p w14:paraId="59D7D4A5">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黑体" w:hAnsi="黑体" w:eastAsia="黑体" w:cs="黑体"/>
                <w:b/>
                <w:bCs/>
                <w:color w:val="auto"/>
                <w:sz w:val="21"/>
                <w:szCs w:val="21"/>
                <w:highlight w:val="none"/>
                <w:lang w:val="en-US" w:eastAsia="zh-CN"/>
              </w:rPr>
            </w:pPr>
            <w:r>
              <w:rPr>
                <w:rFonts w:hint="eastAsia" w:ascii="黑体" w:hAnsi="黑体" w:eastAsia="黑体" w:cs="黑体"/>
                <w:b/>
                <w:bCs/>
                <w:color w:val="auto"/>
                <w:sz w:val="21"/>
                <w:szCs w:val="21"/>
                <w:highlight w:val="none"/>
                <w:lang w:val="en-US" w:eastAsia="zh-CN"/>
              </w:rPr>
              <w:t>（苏采云系统填报价格）</w:t>
            </w:r>
          </w:p>
        </w:tc>
        <w:tc>
          <w:tcPr>
            <w:tcW w:w="944" w:type="dxa"/>
            <w:noWrap w:val="0"/>
            <w:vAlign w:val="center"/>
          </w:tcPr>
          <w:p w14:paraId="0D006E0E">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黑体" w:hAnsi="黑体" w:eastAsia="黑体" w:cs="黑体"/>
                <w:b/>
                <w:bCs/>
                <w:color w:val="auto"/>
                <w:kern w:val="2"/>
                <w:sz w:val="21"/>
                <w:szCs w:val="21"/>
                <w:highlight w:val="none"/>
                <w:lang w:val="en-US" w:eastAsia="zh-CN" w:bidi="ar-SA"/>
              </w:rPr>
            </w:pPr>
            <w:r>
              <w:rPr>
                <w:rFonts w:hint="eastAsia" w:ascii="黑体" w:hAnsi="黑体" w:eastAsia="黑体" w:cs="黑体"/>
                <w:b/>
                <w:bCs/>
                <w:color w:val="auto"/>
                <w:kern w:val="2"/>
                <w:sz w:val="21"/>
                <w:szCs w:val="21"/>
                <w:highlight w:val="none"/>
                <w:lang w:val="en-US" w:eastAsia="zh-CN" w:bidi="ar-SA"/>
              </w:rPr>
              <w:t>小写</w:t>
            </w:r>
          </w:p>
        </w:tc>
        <w:tc>
          <w:tcPr>
            <w:tcW w:w="5856" w:type="dxa"/>
            <w:gridSpan w:val="3"/>
            <w:noWrap w:val="0"/>
            <w:vAlign w:val="center"/>
          </w:tcPr>
          <w:p w14:paraId="3DC74F9B">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黑体" w:hAnsi="黑体" w:eastAsia="黑体" w:cs="黑体"/>
                <w:b/>
                <w:bCs/>
                <w:color w:val="auto"/>
                <w:sz w:val="21"/>
                <w:szCs w:val="21"/>
                <w:highlight w:val="none"/>
                <w:lang w:val="en-US" w:eastAsia="zh-CN"/>
              </w:rPr>
            </w:pPr>
            <w:r>
              <w:rPr>
                <w:rFonts w:hint="eastAsia" w:ascii="黑体" w:hAnsi="黑体" w:eastAsia="黑体" w:cs="黑体"/>
                <w:b/>
                <w:bCs/>
                <w:color w:val="auto"/>
                <w:sz w:val="21"/>
                <w:szCs w:val="21"/>
                <w:highlight w:val="none"/>
                <w:lang w:val="en-US" w:eastAsia="zh-CN"/>
              </w:rPr>
              <w:t>¥                                               /3年</w:t>
            </w:r>
          </w:p>
        </w:tc>
      </w:tr>
      <w:tr w14:paraId="698E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33" w:type="dxa"/>
            <w:vMerge w:val="continue"/>
            <w:noWrap w:val="0"/>
            <w:vAlign w:val="center"/>
          </w:tcPr>
          <w:p w14:paraId="1DE26BB0">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080" w:type="dxa"/>
            <w:vMerge w:val="continue"/>
            <w:noWrap w:val="0"/>
            <w:vAlign w:val="center"/>
          </w:tcPr>
          <w:p w14:paraId="6525BACD">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黑体" w:hAnsi="黑体" w:eastAsia="黑体" w:cs="黑体"/>
                <w:b/>
                <w:bCs/>
                <w:color w:val="auto"/>
                <w:sz w:val="21"/>
                <w:szCs w:val="21"/>
                <w:highlight w:val="none"/>
              </w:rPr>
            </w:pPr>
          </w:p>
        </w:tc>
        <w:tc>
          <w:tcPr>
            <w:tcW w:w="944" w:type="dxa"/>
            <w:noWrap w:val="0"/>
            <w:vAlign w:val="center"/>
          </w:tcPr>
          <w:p w14:paraId="7CF2BD6C">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黑体" w:hAnsi="黑体" w:eastAsia="黑体" w:cs="黑体"/>
                <w:b/>
                <w:bCs/>
                <w:color w:val="auto"/>
                <w:kern w:val="2"/>
                <w:sz w:val="21"/>
                <w:szCs w:val="21"/>
                <w:highlight w:val="none"/>
                <w:lang w:val="en-US" w:eastAsia="zh-CN" w:bidi="ar-SA"/>
              </w:rPr>
            </w:pPr>
            <w:r>
              <w:rPr>
                <w:rFonts w:hint="eastAsia" w:ascii="黑体" w:hAnsi="黑体" w:eastAsia="黑体" w:cs="黑体"/>
                <w:b/>
                <w:bCs/>
                <w:color w:val="auto"/>
                <w:kern w:val="2"/>
                <w:sz w:val="21"/>
                <w:szCs w:val="21"/>
                <w:highlight w:val="none"/>
                <w:lang w:val="en-US" w:eastAsia="zh-CN" w:bidi="ar-SA"/>
              </w:rPr>
              <w:t>大写</w:t>
            </w:r>
          </w:p>
        </w:tc>
        <w:tc>
          <w:tcPr>
            <w:tcW w:w="5856" w:type="dxa"/>
            <w:gridSpan w:val="3"/>
            <w:noWrap w:val="0"/>
            <w:vAlign w:val="center"/>
          </w:tcPr>
          <w:p w14:paraId="4A81FFE4">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黑体" w:hAnsi="黑体" w:eastAsia="黑体" w:cs="黑体"/>
                <w:b/>
                <w:bCs/>
                <w:color w:val="auto"/>
                <w:sz w:val="21"/>
                <w:szCs w:val="21"/>
                <w:highlight w:val="none"/>
                <w:lang w:val="en-US" w:eastAsia="zh-CN"/>
              </w:rPr>
            </w:pPr>
            <w:r>
              <w:rPr>
                <w:rFonts w:hint="eastAsia" w:ascii="黑体" w:hAnsi="黑体" w:eastAsia="黑体" w:cs="黑体"/>
                <w:b/>
                <w:bCs/>
                <w:color w:val="auto"/>
                <w:sz w:val="21"/>
                <w:szCs w:val="21"/>
                <w:highlight w:val="none"/>
                <w:lang w:val="en-US" w:eastAsia="zh-CN"/>
              </w:rPr>
              <w:t>人民币                                          /三年</w:t>
            </w:r>
          </w:p>
        </w:tc>
      </w:tr>
      <w:tr w14:paraId="5283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33" w:type="dxa"/>
            <w:vMerge w:val="continue"/>
            <w:noWrap w:val="0"/>
            <w:vAlign w:val="center"/>
          </w:tcPr>
          <w:p w14:paraId="062D0897">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080" w:type="dxa"/>
            <w:vMerge w:val="restart"/>
            <w:noWrap w:val="0"/>
            <w:vAlign w:val="center"/>
          </w:tcPr>
          <w:p w14:paraId="72C4BCFC">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单年度</w:t>
            </w:r>
          </w:p>
          <w:p w14:paraId="4DED559D">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报价</w:t>
            </w:r>
          </w:p>
        </w:tc>
        <w:tc>
          <w:tcPr>
            <w:tcW w:w="944" w:type="dxa"/>
            <w:noWrap w:val="0"/>
            <w:vAlign w:val="center"/>
          </w:tcPr>
          <w:p w14:paraId="5CE40D9F">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小写</w:t>
            </w:r>
          </w:p>
        </w:tc>
        <w:tc>
          <w:tcPr>
            <w:tcW w:w="5856" w:type="dxa"/>
            <w:gridSpan w:val="3"/>
            <w:noWrap w:val="0"/>
            <w:vAlign w:val="center"/>
          </w:tcPr>
          <w:p w14:paraId="114A8CE2">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leftChars="0" w:right="0" w:rightChars="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/年</w:t>
            </w:r>
          </w:p>
        </w:tc>
      </w:tr>
      <w:tr w14:paraId="74F9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33" w:type="dxa"/>
            <w:vMerge w:val="continue"/>
            <w:noWrap w:val="0"/>
            <w:vAlign w:val="center"/>
          </w:tcPr>
          <w:p w14:paraId="2513DF2A">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080" w:type="dxa"/>
            <w:vMerge w:val="continue"/>
            <w:noWrap w:val="0"/>
            <w:vAlign w:val="center"/>
          </w:tcPr>
          <w:p w14:paraId="5A5B7CA6">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944" w:type="dxa"/>
            <w:noWrap w:val="0"/>
            <w:vAlign w:val="center"/>
          </w:tcPr>
          <w:p w14:paraId="527A6988">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大写</w:t>
            </w:r>
          </w:p>
        </w:tc>
        <w:tc>
          <w:tcPr>
            <w:tcW w:w="5856" w:type="dxa"/>
            <w:gridSpan w:val="3"/>
            <w:noWrap w:val="0"/>
            <w:vAlign w:val="center"/>
          </w:tcPr>
          <w:p w14:paraId="0F5185FC">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leftChars="0" w:right="0" w:rightChars="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人民币                                          /年</w:t>
            </w:r>
          </w:p>
        </w:tc>
      </w:tr>
      <w:tr w14:paraId="616D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957" w:type="dxa"/>
            <w:gridSpan w:val="3"/>
            <w:noWrap w:val="0"/>
            <w:vAlign w:val="center"/>
          </w:tcPr>
          <w:p w14:paraId="0E42B289">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项目负责人</w:t>
            </w:r>
          </w:p>
        </w:tc>
        <w:tc>
          <w:tcPr>
            <w:tcW w:w="2437" w:type="dxa"/>
            <w:noWrap w:val="0"/>
            <w:vAlign w:val="center"/>
          </w:tcPr>
          <w:p w14:paraId="42237095">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lang w:val="en-US" w:eastAsia="zh-CN"/>
              </w:rPr>
            </w:pPr>
          </w:p>
        </w:tc>
        <w:tc>
          <w:tcPr>
            <w:tcW w:w="1621" w:type="dxa"/>
            <w:noWrap w:val="0"/>
            <w:vAlign w:val="center"/>
          </w:tcPr>
          <w:p w14:paraId="3075383E">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联系手机号码</w:t>
            </w:r>
          </w:p>
        </w:tc>
        <w:tc>
          <w:tcPr>
            <w:tcW w:w="1798" w:type="dxa"/>
            <w:noWrap w:val="0"/>
            <w:vAlign w:val="center"/>
          </w:tcPr>
          <w:p w14:paraId="0EFCB686">
            <w:pPr>
              <w:keepNext w:val="0"/>
              <w:keepLines w:val="0"/>
              <w:pageBreakBefore w:val="0"/>
              <w:widowControl w:val="0"/>
              <w:suppressLineNumbers w:val="0"/>
              <w:shd w:val="clear" w:color="auto" w:fill="auto"/>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lang w:val="en-US" w:eastAsia="zh-CN"/>
              </w:rPr>
            </w:pPr>
          </w:p>
        </w:tc>
      </w:tr>
    </w:tbl>
    <w:p w14:paraId="678951D2">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9"/>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注：</w:t>
      </w:r>
    </w:p>
    <w:p w14:paraId="3A509809">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9"/>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1.投标人在苏采云系统中《开标一览表》中填写的投标报价金额应当与本表中“三年度总报价”金额一致。不一致的，以苏采云系统《开标一览表》为准。本项目以三年度总报价计算投标报价得分。</w:t>
      </w:r>
    </w:p>
    <w:p w14:paraId="5083ECE7">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9"/>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2.如果不提供报价一览表将视为没有实质性响应采购文件。</w:t>
      </w:r>
    </w:p>
    <w:p w14:paraId="4C9A584B">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9"/>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3.投标人在本表中投标报价的三年度总报价金额、单年度报价金额应当分别与《报价组成明细表》中三年度总报价金额、单年度报价金额一致。</w:t>
      </w:r>
    </w:p>
    <w:p w14:paraId="251D30C1">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9"/>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4.单年度报价=三年度总报价÷3</w:t>
      </w:r>
    </w:p>
    <w:p w14:paraId="795072B8">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 </w:t>
      </w:r>
      <w:r>
        <w:rPr>
          <w:rFonts w:hint="eastAsia" w:ascii="宋体" w:hAnsi="宋体" w:eastAsia="宋体" w:cs="宋体"/>
          <w:color w:val="auto"/>
          <w:sz w:val="21"/>
          <w:szCs w:val="21"/>
          <w:highlight w:val="none"/>
          <w:lang w:val="zh-CN"/>
        </w:rPr>
        <w:br w:type="textWrapping"/>
      </w:r>
      <w:r>
        <w:rPr>
          <w:rFonts w:hint="eastAsia" w:ascii="宋体" w:hAnsi="宋体" w:eastAsia="宋体" w:cs="宋体"/>
          <w:color w:val="auto"/>
          <w:sz w:val="21"/>
          <w:szCs w:val="21"/>
          <w:highlight w:val="none"/>
          <w:lang w:val="zh-CN"/>
        </w:rPr>
        <w:t xml:space="preserve">                     </w:t>
      </w:r>
    </w:p>
    <w:p w14:paraId="3A9F9C49">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1CF5CB7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0A2AD42D">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   </w:t>
      </w:r>
    </w:p>
    <w:p w14:paraId="090FC9B4">
      <w:pPr>
        <w:keepNext w:val="0"/>
        <w:keepLines w:val="0"/>
        <w:pageBreakBefore w:val="0"/>
        <w:widowControl w:val="0"/>
        <w:shd w:val="clear"/>
        <w:kinsoku/>
        <w:wordWrap/>
        <w:overflowPunct/>
        <w:topLinePunct/>
        <w:autoSpaceDE/>
        <w:autoSpaceDN/>
        <w:bidi w:val="0"/>
        <w:adjustRightInd w:val="0"/>
        <w:snapToGrid w:val="0"/>
        <w:jc w:val="left"/>
        <w:outlineLvl w:val="9"/>
        <w:rPr>
          <w:rFonts w:hint="eastAsia" w:ascii="宋体" w:hAnsi="宋体" w:eastAsia="宋体" w:cs="宋体"/>
          <w:color w:val="auto"/>
          <w:sz w:val="24"/>
          <w:szCs w:val="20"/>
          <w:highlight w:val="none"/>
        </w:rPr>
      </w:pPr>
    </w:p>
    <w:p w14:paraId="76EBA711">
      <w:pPr>
        <w:keepNext w:val="0"/>
        <w:keepLines w:val="0"/>
        <w:pageBreakBefore w:val="0"/>
        <w:widowControl w:val="0"/>
        <w:shd w:val="clear"/>
        <w:kinsoku/>
        <w:wordWrap/>
        <w:overflowPunct/>
        <w:topLinePunct/>
        <w:autoSpaceDE/>
        <w:autoSpaceDN/>
        <w:bidi w:val="0"/>
        <w:adjustRightInd w:val="0"/>
        <w:snapToGrid w:val="0"/>
        <w:jc w:val="left"/>
        <w:outlineLvl w:val="1"/>
        <w:rPr>
          <w:rFonts w:hint="eastAsia" w:ascii="宋体" w:hAnsi="宋体" w:eastAsia="宋体" w:cs="宋体"/>
          <w:b/>
          <w:bCs/>
          <w:color w:val="auto"/>
          <w:sz w:val="24"/>
          <w:szCs w:val="20"/>
          <w:highlight w:val="none"/>
        </w:rPr>
      </w:pPr>
      <w:r>
        <w:rPr>
          <w:rFonts w:hint="eastAsia" w:ascii="宋体" w:hAnsi="宋体" w:cs="宋体"/>
          <w:b/>
          <w:color w:val="auto"/>
          <w:sz w:val="28"/>
          <w:szCs w:val="28"/>
          <w:highlight w:val="none"/>
          <w:lang w:val="en-US" w:eastAsia="zh-CN"/>
        </w:rPr>
        <w:br w:type="page"/>
      </w:r>
      <w:r>
        <w:rPr>
          <w:rFonts w:hint="eastAsia" w:ascii="宋体" w:hAnsi="宋体" w:cs="宋体"/>
          <w:b/>
          <w:bCs/>
          <w:color w:val="auto"/>
          <w:sz w:val="24"/>
          <w:szCs w:val="20"/>
          <w:highlight w:val="none"/>
          <w:lang w:val="en-US" w:eastAsia="zh-CN"/>
        </w:rPr>
        <w:t>5</w:t>
      </w:r>
      <w:r>
        <w:rPr>
          <w:rFonts w:hint="eastAsia" w:ascii="宋体" w:hAnsi="宋体" w:eastAsia="宋体" w:cs="宋体"/>
          <w:b/>
          <w:bCs/>
          <w:color w:val="auto"/>
          <w:sz w:val="24"/>
          <w:szCs w:val="20"/>
          <w:highlight w:val="none"/>
          <w:lang w:val="en-US" w:eastAsia="zh-CN"/>
        </w:rPr>
        <w:t xml:space="preserve">  </w:t>
      </w:r>
      <w:r>
        <w:rPr>
          <w:rFonts w:hint="eastAsia" w:ascii="宋体" w:hAnsi="宋体" w:cs="宋体"/>
          <w:b/>
          <w:bCs/>
          <w:color w:val="auto"/>
          <w:sz w:val="24"/>
          <w:szCs w:val="20"/>
          <w:highlight w:val="none"/>
          <w:lang w:val="en-US" w:eastAsia="zh-CN"/>
        </w:rPr>
        <w:t>报价组成明细表</w:t>
      </w:r>
      <w:r>
        <w:rPr>
          <w:rFonts w:hint="eastAsia" w:ascii="宋体" w:hAnsi="宋体" w:eastAsia="宋体" w:cs="宋体"/>
          <w:b/>
          <w:bCs/>
          <w:color w:val="auto"/>
          <w:sz w:val="24"/>
          <w:szCs w:val="20"/>
          <w:highlight w:val="none"/>
        </w:rPr>
        <w:t>（实质性格式）</w:t>
      </w:r>
    </w:p>
    <w:p w14:paraId="0B05E019">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default" w:ascii="宋体" w:hAnsi="宋体" w:cs="宋体"/>
          <w:b/>
          <w:color w:val="auto"/>
          <w:sz w:val="28"/>
          <w:szCs w:val="28"/>
          <w:highlight w:val="none"/>
          <w:lang w:val="en-US" w:eastAsia="zh-CN"/>
        </w:rPr>
      </w:pPr>
      <w:r>
        <w:rPr>
          <w:rFonts w:hint="default" w:ascii="宋体" w:hAnsi="宋体" w:cs="宋体"/>
          <w:b/>
          <w:color w:val="auto"/>
          <w:sz w:val="28"/>
          <w:szCs w:val="28"/>
          <w:highlight w:val="none"/>
          <w:lang w:val="en-US" w:eastAsia="zh-CN"/>
        </w:rPr>
        <w:t>报价组成明细表</w:t>
      </w:r>
    </w:p>
    <w:p w14:paraId="021C89A4">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360" w:lineRule="auto"/>
        <w:ind w:left="0" w:right="0"/>
        <w:jc w:val="left"/>
        <w:textAlignment w:val="auto"/>
        <w:outlineLvl w:val="9"/>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项目编号：                        项目名称：</w:t>
      </w:r>
    </w:p>
    <w:tbl>
      <w:tblPr>
        <w:tblStyle w:val="18"/>
        <w:tblW w:w="9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380"/>
        <w:gridCol w:w="1074"/>
        <w:gridCol w:w="1193"/>
        <w:gridCol w:w="1119"/>
        <w:gridCol w:w="1169"/>
        <w:gridCol w:w="673"/>
        <w:gridCol w:w="669"/>
        <w:gridCol w:w="3106"/>
      </w:tblGrid>
      <w:tr w14:paraId="05AC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1930BD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1454" w:type="dxa"/>
            <w:gridSpan w:val="2"/>
            <w:noWrap w:val="0"/>
            <w:vAlign w:val="center"/>
          </w:tcPr>
          <w:p w14:paraId="3174E6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lang w:val="en-US" w:eastAsia="zh-CN"/>
              </w:rPr>
              <w:t>岗位</w:t>
            </w:r>
            <w:r>
              <w:rPr>
                <w:rFonts w:hint="eastAsia" w:ascii="宋体" w:hAnsi="宋体" w:eastAsia="宋体" w:cs="宋体"/>
                <w:b/>
                <w:bCs/>
                <w:color w:val="auto"/>
                <w:sz w:val="18"/>
                <w:szCs w:val="18"/>
                <w:highlight w:val="none"/>
              </w:rPr>
              <w:t>名称</w:t>
            </w:r>
          </w:p>
        </w:tc>
        <w:tc>
          <w:tcPr>
            <w:tcW w:w="1193" w:type="dxa"/>
            <w:noWrap w:val="0"/>
            <w:vAlign w:val="center"/>
          </w:tcPr>
          <w:p w14:paraId="1E0342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服务范围</w:t>
            </w:r>
          </w:p>
        </w:tc>
        <w:tc>
          <w:tcPr>
            <w:tcW w:w="1119" w:type="dxa"/>
            <w:noWrap w:val="0"/>
            <w:vAlign w:val="center"/>
          </w:tcPr>
          <w:p w14:paraId="08A9CA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服务要求</w:t>
            </w:r>
          </w:p>
        </w:tc>
        <w:tc>
          <w:tcPr>
            <w:tcW w:w="1169" w:type="dxa"/>
            <w:noWrap w:val="0"/>
            <w:vAlign w:val="center"/>
          </w:tcPr>
          <w:p w14:paraId="13B221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服务标准</w:t>
            </w:r>
          </w:p>
        </w:tc>
        <w:tc>
          <w:tcPr>
            <w:tcW w:w="673" w:type="dxa"/>
            <w:noWrap w:val="0"/>
            <w:vAlign w:val="center"/>
          </w:tcPr>
          <w:p w14:paraId="181452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服务</w:t>
            </w:r>
          </w:p>
          <w:p w14:paraId="112D7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时间</w:t>
            </w:r>
          </w:p>
          <w:p w14:paraId="4B462C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（月）</w:t>
            </w:r>
          </w:p>
        </w:tc>
        <w:tc>
          <w:tcPr>
            <w:tcW w:w="669" w:type="dxa"/>
            <w:noWrap w:val="0"/>
            <w:vAlign w:val="center"/>
          </w:tcPr>
          <w:p w14:paraId="397C9E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服务</w:t>
            </w:r>
          </w:p>
          <w:p w14:paraId="509447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人数</w:t>
            </w:r>
          </w:p>
          <w:p w14:paraId="55CCC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eastAsia="zh-CN"/>
              </w:rPr>
            </w:pP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人</w:t>
            </w:r>
            <w:r>
              <w:rPr>
                <w:rFonts w:hint="eastAsia" w:ascii="宋体" w:hAnsi="宋体" w:eastAsia="宋体" w:cs="宋体"/>
                <w:b/>
                <w:bCs/>
                <w:color w:val="auto"/>
                <w:sz w:val="18"/>
                <w:szCs w:val="18"/>
                <w:highlight w:val="none"/>
                <w:lang w:eastAsia="zh-CN"/>
              </w:rPr>
              <w:t>）</w:t>
            </w:r>
          </w:p>
        </w:tc>
        <w:tc>
          <w:tcPr>
            <w:tcW w:w="3106" w:type="dxa"/>
            <w:noWrap w:val="0"/>
            <w:vAlign w:val="center"/>
          </w:tcPr>
          <w:p w14:paraId="27D724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备注</w:t>
            </w:r>
          </w:p>
        </w:tc>
      </w:tr>
      <w:tr w14:paraId="3738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0C4DA1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454" w:type="dxa"/>
            <w:gridSpan w:val="2"/>
            <w:noWrap w:val="0"/>
            <w:vAlign w:val="center"/>
          </w:tcPr>
          <w:p w14:paraId="70F2F9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项目负责人</w:t>
            </w:r>
          </w:p>
          <w:p w14:paraId="51E0B5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val="en-US" w:eastAsia="zh-CN"/>
              </w:rPr>
              <w:t>（兼食品安全总监）</w:t>
            </w:r>
          </w:p>
        </w:tc>
        <w:tc>
          <w:tcPr>
            <w:tcW w:w="1193" w:type="dxa"/>
            <w:noWrap w:val="0"/>
            <w:vAlign w:val="center"/>
          </w:tcPr>
          <w:p w14:paraId="0A4975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6A67DA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7B6FF7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5C9AD5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4A45CB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restart"/>
            <w:noWrap w:val="0"/>
            <w:vAlign w:val="center"/>
          </w:tcPr>
          <w:p w14:paraId="2CED95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包括但不限于招标文件及其基本技术要求范围内相应项目前的准备（包括现场踏勘等）、项目服务、人员费用[包括但不限于工资薪金、劳务报酬、离职补偿金、管理费、培训费、加班费（包括全年法定假日、双休日及职工带薪年假加班费）、岗位补贴、高温补贴、员工福利、社会保险、公积金、商业保险、工会费等]、自有设备设施（含工器具、消耗品、服装、劳保用品）、维护修理、折旧、办公设备、</w:t>
            </w:r>
            <w:r>
              <w:rPr>
                <w:rFonts w:hint="eastAsia" w:ascii="宋体" w:hAnsi="宋体" w:cs="宋体"/>
                <w:color w:val="auto"/>
                <w:sz w:val="18"/>
                <w:szCs w:val="18"/>
                <w:highlight w:val="none"/>
                <w:lang w:eastAsia="zh-CN"/>
              </w:rPr>
              <w:t>通讯、检验检测、</w:t>
            </w:r>
            <w:r>
              <w:rPr>
                <w:rFonts w:hint="eastAsia" w:ascii="宋体" w:hAnsi="宋体" w:eastAsia="宋体" w:cs="宋体"/>
                <w:color w:val="auto"/>
                <w:sz w:val="18"/>
                <w:szCs w:val="18"/>
                <w:highlight w:val="none"/>
              </w:rPr>
              <w:t>管理、质保、利润、各种税费、市场价格波动风险因素、政策性文件规定及项目明示或暗示的所有风险、责任、义务等各项应有的费用；上述未列明，但投标人认为所需的其他费用也包含在内，采购人不接受投标人任何因遗漏报价而发生的费用追加和调整，采购人不再向中标人支付其他额外任何费用。同时，除非合同条款中另有规定，否则，投标人所报价格在项目投标、合同实施期间不因市场变化等因素而变动。</w:t>
            </w:r>
          </w:p>
          <w:p w14:paraId="7CE025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合同期内若涉及本地区最低工资、社保缴费基数、住房公积金基数等上调，投标人应按政策要求保障人员相关法定待遇，涉及到工资差额、固定岗位工资差额、假日工资差额、社保差额部分、住房公积金差额等均由投标人承担。</w:t>
            </w:r>
          </w:p>
        </w:tc>
      </w:tr>
      <w:tr w14:paraId="560B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271455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454" w:type="dxa"/>
            <w:gridSpan w:val="2"/>
            <w:noWrap w:val="0"/>
            <w:vAlign w:val="center"/>
          </w:tcPr>
          <w:p w14:paraId="1F6A2E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厨师长</w:t>
            </w:r>
          </w:p>
        </w:tc>
        <w:tc>
          <w:tcPr>
            <w:tcW w:w="1193" w:type="dxa"/>
            <w:noWrap w:val="0"/>
            <w:vAlign w:val="center"/>
          </w:tcPr>
          <w:p w14:paraId="67E71E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4C12F4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1054E6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6A7CFC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7A95A0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707B1A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25A3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3CD2DB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454" w:type="dxa"/>
            <w:gridSpan w:val="2"/>
            <w:noWrap w:val="0"/>
            <w:vAlign w:val="center"/>
          </w:tcPr>
          <w:p w14:paraId="4CE753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厨师</w:t>
            </w:r>
          </w:p>
        </w:tc>
        <w:tc>
          <w:tcPr>
            <w:tcW w:w="1193" w:type="dxa"/>
            <w:noWrap w:val="0"/>
            <w:vAlign w:val="center"/>
          </w:tcPr>
          <w:p w14:paraId="65BE49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1F0059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2413A1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7F7526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175AE0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3213F4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78EE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041C10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454" w:type="dxa"/>
            <w:gridSpan w:val="2"/>
            <w:noWrap w:val="0"/>
            <w:vAlign w:val="center"/>
          </w:tcPr>
          <w:p w14:paraId="6310BC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点心师</w:t>
            </w:r>
          </w:p>
        </w:tc>
        <w:tc>
          <w:tcPr>
            <w:tcW w:w="1193" w:type="dxa"/>
            <w:noWrap w:val="0"/>
            <w:vAlign w:val="center"/>
          </w:tcPr>
          <w:p w14:paraId="7D63FF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424AE4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2C0D2B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4167CD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28A1F6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57AC0A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2870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4AD711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454" w:type="dxa"/>
            <w:gridSpan w:val="2"/>
            <w:noWrap w:val="0"/>
            <w:vAlign w:val="center"/>
          </w:tcPr>
          <w:p w14:paraId="20F6BC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点心辅助工</w:t>
            </w:r>
          </w:p>
        </w:tc>
        <w:tc>
          <w:tcPr>
            <w:tcW w:w="1193" w:type="dxa"/>
            <w:noWrap w:val="0"/>
            <w:vAlign w:val="center"/>
          </w:tcPr>
          <w:p w14:paraId="64FCF2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71E116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566F2F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604C71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7AE9A0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7292A0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61C6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6D9837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454" w:type="dxa"/>
            <w:gridSpan w:val="2"/>
            <w:noWrap w:val="0"/>
            <w:vAlign w:val="center"/>
          </w:tcPr>
          <w:p w14:paraId="415AE4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面档工</w:t>
            </w:r>
          </w:p>
        </w:tc>
        <w:tc>
          <w:tcPr>
            <w:tcW w:w="1193" w:type="dxa"/>
            <w:noWrap w:val="0"/>
            <w:vAlign w:val="center"/>
          </w:tcPr>
          <w:p w14:paraId="28FD77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3565E9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47274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6DE1CA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1EE25E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0BB171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1B67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590B74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1454" w:type="dxa"/>
            <w:gridSpan w:val="2"/>
            <w:noWrap w:val="0"/>
            <w:vAlign w:val="center"/>
          </w:tcPr>
          <w:p w14:paraId="161085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拣洗切配员</w:t>
            </w:r>
          </w:p>
        </w:tc>
        <w:tc>
          <w:tcPr>
            <w:tcW w:w="1193" w:type="dxa"/>
            <w:noWrap w:val="0"/>
            <w:vAlign w:val="center"/>
          </w:tcPr>
          <w:p w14:paraId="10D8D2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4CC911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403175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7B6442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2D1F9C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1664BF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4429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6692F2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1454" w:type="dxa"/>
            <w:gridSpan w:val="2"/>
            <w:noWrap w:val="0"/>
            <w:vAlign w:val="center"/>
          </w:tcPr>
          <w:p w14:paraId="335628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服务员</w:t>
            </w:r>
          </w:p>
        </w:tc>
        <w:tc>
          <w:tcPr>
            <w:tcW w:w="1193" w:type="dxa"/>
            <w:noWrap w:val="0"/>
            <w:vAlign w:val="center"/>
          </w:tcPr>
          <w:p w14:paraId="5BDAC1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3A9DEE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06D709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7A48FE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047631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6CA809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289A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444" w:type="dxa"/>
            <w:noWrap w:val="0"/>
            <w:vAlign w:val="center"/>
          </w:tcPr>
          <w:p w14:paraId="433BAF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w:t>
            </w:r>
          </w:p>
        </w:tc>
        <w:tc>
          <w:tcPr>
            <w:tcW w:w="1454" w:type="dxa"/>
            <w:gridSpan w:val="2"/>
            <w:noWrap w:val="0"/>
            <w:vAlign w:val="center"/>
          </w:tcPr>
          <w:p w14:paraId="372F31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洗碗保洁员</w:t>
            </w:r>
          </w:p>
        </w:tc>
        <w:tc>
          <w:tcPr>
            <w:tcW w:w="1193" w:type="dxa"/>
            <w:noWrap w:val="0"/>
            <w:vAlign w:val="center"/>
          </w:tcPr>
          <w:p w14:paraId="1F358D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0DA90D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49D3D6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12207F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494B5A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5A0D93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7735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4" w:type="dxa"/>
            <w:noWrap w:val="0"/>
            <w:vAlign w:val="center"/>
          </w:tcPr>
          <w:p w14:paraId="5A7F26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1454" w:type="dxa"/>
            <w:gridSpan w:val="2"/>
            <w:noWrap w:val="0"/>
            <w:vAlign w:val="center"/>
          </w:tcPr>
          <w:p w14:paraId="113E50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rPr>
              <w:t>食堂安全管理员</w:t>
            </w:r>
          </w:p>
        </w:tc>
        <w:tc>
          <w:tcPr>
            <w:tcW w:w="1193" w:type="dxa"/>
            <w:noWrap w:val="0"/>
            <w:vAlign w:val="center"/>
          </w:tcPr>
          <w:p w14:paraId="2FF547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19" w:type="dxa"/>
            <w:noWrap w:val="0"/>
            <w:vAlign w:val="center"/>
          </w:tcPr>
          <w:p w14:paraId="3C4876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1169" w:type="dxa"/>
            <w:noWrap w:val="0"/>
            <w:vAlign w:val="center"/>
          </w:tcPr>
          <w:p w14:paraId="648F45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详见采购文件第五章采购需求</w:t>
            </w:r>
          </w:p>
        </w:tc>
        <w:tc>
          <w:tcPr>
            <w:tcW w:w="673" w:type="dxa"/>
            <w:noWrap w:val="0"/>
            <w:vAlign w:val="center"/>
          </w:tcPr>
          <w:p w14:paraId="7E7B13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669" w:type="dxa"/>
            <w:noWrap w:val="0"/>
            <w:vAlign w:val="center"/>
          </w:tcPr>
          <w:p w14:paraId="3979BE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3106" w:type="dxa"/>
            <w:vMerge w:val="continue"/>
            <w:noWrap w:val="0"/>
            <w:vAlign w:val="center"/>
          </w:tcPr>
          <w:p w14:paraId="025F48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highlight w:val="none"/>
              </w:rPr>
            </w:pPr>
          </w:p>
        </w:tc>
      </w:tr>
      <w:tr w14:paraId="3248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4" w:type="dxa"/>
            <w:gridSpan w:val="2"/>
            <w:vMerge w:val="restart"/>
            <w:noWrap w:val="0"/>
            <w:vAlign w:val="center"/>
          </w:tcPr>
          <w:p w14:paraId="4530AC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投标</w:t>
            </w:r>
          </w:p>
          <w:p w14:paraId="63EFCF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报价</w:t>
            </w:r>
          </w:p>
        </w:tc>
        <w:tc>
          <w:tcPr>
            <w:tcW w:w="1074" w:type="dxa"/>
            <w:vMerge w:val="restart"/>
            <w:noWrap w:val="0"/>
            <w:vAlign w:val="center"/>
          </w:tcPr>
          <w:p w14:paraId="11C829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三年度</w:t>
            </w:r>
          </w:p>
          <w:p w14:paraId="108DDF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总报价</w:t>
            </w:r>
          </w:p>
        </w:tc>
        <w:tc>
          <w:tcPr>
            <w:tcW w:w="1193" w:type="dxa"/>
            <w:noWrap w:val="0"/>
            <w:vAlign w:val="center"/>
          </w:tcPr>
          <w:p w14:paraId="13923E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金额大写</w:t>
            </w:r>
          </w:p>
        </w:tc>
        <w:tc>
          <w:tcPr>
            <w:tcW w:w="6736" w:type="dxa"/>
            <w:gridSpan w:val="5"/>
            <w:noWrap w:val="0"/>
            <w:vAlign w:val="center"/>
          </w:tcPr>
          <w:p w14:paraId="4EDE36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color w:val="auto"/>
                <w:sz w:val="18"/>
                <w:szCs w:val="18"/>
                <w:highlight w:val="none"/>
                <w:lang w:val="en-US"/>
              </w:rPr>
            </w:pPr>
            <w:r>
              <w:rPr>
                <w:rFonts w:hint="eastAsia" w:ascii="宋体" w:hAnsi="宋体" w:eastAsia="宋体" w:cs="宋体"/>
                <w:b/>
                <w:bCs/>
                <w:color w:val="auto"/>
                <w:sz w:val="18"/>
                <w:szCs w:val="18"/>
                <w:highlight w:val="none"/>
                <w:lang w:val="en-US" w:eastAsia="zh-CN"/>
              </w:rPr>
              <w:t>人民币                                                             /三年</w:t>
            </w:r>
          </w:p>
        </w:tc>
      </w:tr>
      <w:tr w14:paraId="2822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4" w:type="dxa"/>
            <w:gridSpan w:val="2"/>
            <w:vMerge w:val="continue"/>
            <w:noWrap w:val="0"/>
            <w:vAlign w:val="center"/>
          </w:tcPr>
          <w:p w14:paraId="7D033C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074" w:type="dxa"/>
            <w:vMerge w:val="continue"/>
            <w:noWrap w:val="0"/>
            <w:vAlign w:val="center"/>
          </w:tcPr>
          <w:p w14:paraId="36E17D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193" w:type="dxa"/>
            <w:noWrap w:val="0"/>
            <w:vAlign w:val="center"/>
          </w:tcPr>
          <w:p w14:paraId="4392BD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金额小写</w:t>
            </w:r>
          </w:p>
        </w:tc>
        <w:tc>
          <w:tcPr>
            <w:tcW w:w="6736" w:type="dxa"/>
            <w:gridSpan w:val="5"/>
            <w:noWrap w:val="0"/>
            <w:vAlign w:val="center"/>
          </w:tcPr>
          <w:p w14:paraId="7654D3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                                                                  /3年</w:t>
            </w:r>
          </w:p>
        </w:tc>
      </w:tr>
      <w:tr w14:paraId="1175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4" w:type="dxa"/>
            <w:gridSpan w:val="2"/>
            <w:vMerge w:val="continue"/>
            <w:noWrap w:val="0"/>
            <w:vAlign w:val="center"/>
          </w:tcPr>
          <w:p w14:paraId="4BECD4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074" w:type="dxa"/>
            <w:vMerge w:val="restart"/>
            <w:noWrap w:val="0"/>
            <w:vAlign w:val="center"/>
          </w:tcPr>
          <w:p w14:paraId="200BCE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单年度</w:t>
            </w:r>
          </w:p>
          <w:p w14:paraId="1D19CF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报价</w:t>
            </w:r>
          </w:p>
        </w:tc>
        <w:tc>
          <w:tcPr>
            <w:tcW w:w="1193" w:type="dxa"/>
            <w:noWrap w:val="0"/>
            <w:vAlign w:val="center"/>
          </w:tcPr>
          <w:p w14:paraId="282F7B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金额大写</w:t>
            </w:r>
          </w:p>
        </w:tc>
        <w:tc>
          <w:tcPr>
            <w:tcW w:w="6736" w:type="dxa"/>
            <w:gridSpan w:val="5"/>
            <w:noWrap w:val="0"/>
            <w:vAlign w:val="center"/>
          </w:tcPr>
          <w:p w14:paraId="754181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人民币                                                               /年</w:t>
            </w:r>
          </w:p>
        </w:tc>
      </w:tr>
      <w:tr w14:paraId="6A10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4" w:type="dxa"/>
            <w:gridSpan w:val="2"/>
            <w:vMerge w:val="continue"/>
            <w:noWrap w:val="0"/>
            <w:vAlign w:val="center"/>
          </w:tcPr>
          <w:p w14:paraId="6AC851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074" w:type="dxa"/>
            <w:vMerge w:val="continue"/>
            <w:noWrap w:val="0"/>
            <w:vAlign w:val="center"/>
          </w:tcPr>
          <w:p w14:paraId="2CC10D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18"/>
                <w:szCs w:val="18"/>
                <w:highlight w:val="none"/>
              </w:rPr>
            </w:pPr>
          </w:p>
        </w:tc>
        <w:tc>
          <w:tcPr>
            <w:tcW w:w="1193" w:type="dxa"/>
            <w:noWrap w:val="0"/>
            <w:vAlign w:val="center"/>
          </w:tcPr>
          <w:p w14:paraId="0A6DCF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金额小写</w:t>
            </w:r>
          </w:p>
        </w:tc>
        <w:tc>
          <w:tcPr>
            <w:tcW w:w="6736" w:type="dxa"/>
            <w:gridSpan w:val="5"/>
            <w:noWrap w:val="0"/>
            <w:vAlign w:val="center"/>
          </w:tcPr>
          <w:p w14:paraId="4BACC6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                                                                    /年</w:t>
            </w:r>
          </w:p>
        </w:tc>
      </w:tr>
    </w:tbl>
    <w:p w14:paraId="123ABE55">
      <w:pPr>
        <w:keepNext w:val="0"/>
        <w:keepLines w:val="0"/>
        <w:pageBreakBefore w:val="0"/>
        <w:widowControl w:val="0"/>
        <w:shd w:val="clear" w:color="auto" w:fill="auto"/>
        <w:kinsoku/>
        <w:wordWrap/>
        <w:overflowPunct/>
        <w:topLinePunct w:val="0"/>
        <w:autoSpaceDE w:val="0"/>
        <w:autoSpaceDN w:val="0"/>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C8E5667">
      <w:pPr>
        <w:keepNext w:val="0"/>
        <w:keepLines w:val="0"/>
        <w:pageBreakBefore w:val="0"/>
        <w:widowControl w:val="0"/>
        <w:shd w:val="clear" w:color="auto" w:fill="auto"/>
        <w:kinsoku/>
        <w:wordWrap/>
        <w:overflowPunct/>
        <w:topLinePunct w:val="0"/>
        <w:autoSpaceDE w:val="0"/>
        <w:autoSpaceDN w:val="0"/>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如果不提供</w:t>
      </w:r>
      <w:r>
        <w:rPr>
          <w:rFonts w:hint="eastAsia" w:ascii="宋体" w:hAnsi="宋体" w:eastAsia="宋体" w:cs="宋体"/>
          <w:color w:val="auto"/>
          <w:sz w:val="21"/>
          <w:szCs w:val="21"/>
          <w:highlight w:val="none"/>
          <w:lang w:val="en-US" w:eastAsia="zh-CN"/>
        </w:rPr>
        <w:t>报价组成明细表</w:t>
      </w:r>
      <w:r>
        <w:rPr>
          <w:rFonts w:hint="eastAsia" w:ascii="宋体" w:hAnsi="宋体" w:eastAsia="宋体" w:cs="宋体"/>
          <w:color w:val="auto"/>
          <w:sz w:val="21"/>
          <w:szCs w:val="21"/>
          <w:highlight w:val="none"/>
        </w:rPr>
        <w:t>将视为没有实质性响应采购文件。</w:t>
      </w:r>
    </w:p>
    <w:p w14:paraId="4D177C1E">
      <w:pPr>
        <w:keepNext w:val="0"/>
        <w:keepLines w:val="0"/>
        <w:pageBreakBefore w:val="0"/>
        <w:widowControl w:val="0"/>
        <w:shd w:val="clear" w:color="auto" w:fill="auto"/>
        <w:kinsoku/>
        <w:wordWrap/>
        <w:overflowPunct/>
        <w:topLinePunct w:val="0"/>
        <w:autoSpaceDE w:val="0"/>
        <w:autoSpaceDN w:val="0"/>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.本表行数可以按照项目分项情况增加。</w:t>
      </w:r>
    </w:p>
    <w:p w14:paraId="10DAFEFD">
      <w:pPr>
        <w:keepNext w:val="0"/>
        <w:keepLines w:val="0"/>
        <w:pageBreakBefore w:val="0"/>
        <w:widowControl w:val="0"/>
        <w:shd w:val="clear" w:color="auto" w:fill="auto"/>
        <w:kinsoku/>
        <w:wordWrap/>
        <w:overflowPunct/>
        <w:topLinePunct w:val="0"/>
        <w:autoSpaceDE w:val="0"/>
        <w:autoSpaceDN w:val="0"/>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.上述各项的服务内容如表格中填写不下的，可以逐项另页描述。</w:t>
      </w:r>
    </w:p>
    <w:p w14:paraId="68123D8B">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.投标人的投标报价应包括为完成本项目所发生的一切相关费用和税费等，</w:t>
      </w:r>
      <w:r>
        <w:rPr>
          <w:rFonts w:hint="eastAsia" w:ascii="宋体" w:hAnsi="宋体" w:cs="宋体"/>
          <w:color w:val="auto"/>
          <w:sz w:val="21"/>
          <w:szCs w:val="21"/>
          <w:highlight w:val="none"/>
          <w:lang w:val="en-US" w:eastAsia="zh-CN"/>
        </w:rPr>
        <w:t>除有相关约定外，</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将不再支付报价以外的任何费用。</w:t>
      </w:r>
    </w:p>
    <w:p w14:paraId="4D465A2C">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投标人在本表中投标报价的三年度总报价金额、单年度报价金额应当分别与《</w:t>
      </w:r>
      <w:r>
        <w:rPr>
          <w:rFonts w:hint="eastAsia" w:ascii="宋体" w:hAnsi="宋体" w:cs="宋体"/>
          <w:color w:val="auto"/>
          <w:sz w:val="21"/>
          <w:szCs w:val="21"/>
          <w:highlight w:val="none"/>
          <w:lang w:val="en-US" w:eastAsia="zh-CN"/>
        </w:rPr>
        <w:t>报价一览表</w:t>
      </w:r>
      <w:r>
        <w:rPr>
          <w:rFonts w:hint="eastAsia" w:ascii="宋体" w:hAnsi="宋体" w:eastAsia="宋体" w:cs="宋体"/>
          <w:color w:val="auto"/>
          <w:sz w:val="21"/>
          <w:szCs w:val="21"/>
          <w:highlight w:val="none"/>
        </w:rPr>
        <w:t>》中三年度总报价金额、单年度报价金额一致。</w:t>
      </w:r>
    </w:p>
    <w:p w14:paraId="12B32BE8">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6.单年度报价=三年度总报价÷3</w:t>
      </w:r>
      <w:r>
        <w:rPr>
          <w:rFonts w:hint="eastAsia" w:ascii="宋体" w:hAnsi="宋体" w:eastAsia="宋体" w:cs="宋体"/>
          <w:color w:val="auto"/>
          <w:sz w:val="21"/>
          <w:szCs w:val="21"/>
          <w:highlight w:val="none"/>
        </w:rPr>
        <w:br w:type="textWrapping"/>
      </w:r>
    </w:p>
    <w:p w14:paraId="137CFC8D">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p>
    <w:p w14:paraId="695076F0">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38C00B98">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年    月    日  </w:t>
      </w:r>
    </w:p>
    <w:p w14:paraId="5A06B23F">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DAE664F">
      <w:pPr>
        <w:keepNext w:val="0"/>
        <w:keepLines w:val="0"/>
        <w:pageBreakBefore w:val="0"/>
        <w:widowControl w:val="0"/>
        <w:shd w:val="clear"/>
        <w:kinsoku/>
        <w:wordWrap/>
        <w:overflowPunct/>
        <w:topLinePunct/>
        <w:autoSpaceDE/>
        <w:autoSpaceDN/>
        <w:bidi w:val="0"/>
        <w:adjustRightInd w:val="0"/>
        <w:snapToGrid w:val="0"/>
        <w:spacing w:line="360" w:lineRule="auto"/>
        <w:jc w:val="left"/>
        <w:textAlignment w:val="auto"/>
        <w:outlineLvl w:val="1"/>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合同条款偏离表（实质性格式）</w:t>
      </w:r>
    </w:p>
    <w:p w14:paraId="5BBADB86">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合同条款偏离表</w:t>
      </w:r>
    </w:p>
    <w:tbl>
      <w:tblPr>
        <w:tblStyle w:val="18"/>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623"/>
        <w:gridCol w:w="531"/>
        <w:gridCol w:w="2476"/>
        <w:gridCol w:w="1559"/>
        <w:gridCol w:w="1872"/>
        <w:gridCol w:w="862"/>
      </w:tblGrid>
      <w:tr w14:paraId="543F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3" w:type="dxa"/>
            <w:gridSpan w:val="2"/>
            <w:noWrap w:val="0"/>
            <w:vAlign w:val="center"/>
          </w:tcPr>
          <w:p w14:paraId="21789DF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lang w:val="en-US" w:eastAsia="zh-CN"/>
              </w:rPr>
              <w:t>项目编号</w:t>
            </w:r>
          </w:p>
        </w:tc>
        <w:tc>
          <w:tcPr>
            <w:tcW w:w="7300" w:type="dxa"/>
            <w:gridSpan w:val="5"/>
            <w:noWrap w:val="0"/>
            <w:vAlign w:val="center"/>
          </w:tcPr>
          <w:p w14:paraId="27DCCCE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JSZC-320404-QFZB-G2026-0012</w:t>
            </w:r>
            <w:r>
              <w:rPr>
                <w:rFonts w:hint="eastAsia" w:ascii="宋体" w:hAnsi="宋体" w:cs="宋体"/>
                <w:b/>
                <w:bCs/>
                <w:color w:val="auto"/>
                <w:sz w:val="21"/>
                <w:szCs w:val="21"/>
                <w:highlight w:val="none"/>
                <w:lang w:val="en-US" w:eastAsia="zh-CN"/>
              </w:rPr>
              <w:tab/>
            </w:r>
          </w:p>
        </w:tc>
      </w:tr>
      <w:tr w14:paraId="5C0B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83" w:type="dxa"/>
            <w:gridSpan w:val="2"/>
            <w:noWrap w:val="0"/>
            <w:vAlign w:val="center"/>
          </w:tcPr>
          <w:p w14:paraId="0BD9472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lang w:val="en-US" w:eastAsia="zh-CN"/>
              </w:rPr>
              <w:t>项目名称</w:t>
            </w:r>
          </w:p>
        </w:tc>
        <w:tc>
          <w:tcPr>
            <w:tcW w:w="7300" w:type="dxa"/>
            <w:gridSpan w:val="5"/>
            <w:noWrap w:val="0"/>
            <w:vAlign w:val="center"/>
          </w:tcPr>
          <w:p w14:paraId="56EEDEE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常州市钟楼区行政中心机关食堂餐饮服务及管理项目</w:t>
            </w:r>
          </w:p>
        </w:tc>
      </w:tr>
      <w:tr w14:paraId="0C1C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883" w:type="dxa"/>
            <w:gridSpan w:val="7"/>
            <w:noWrap w:val="0"/>
            <w:vAlign w:val="center"/>
          </w:tcPr>
          <w:p w14:paraId="0B879D5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400" w:lineRule="exact"/>
              <w:ind w:left="0" w:right="0"/>
              <w:jc w:val="lef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对本项目合同条款的偏离情况（请进行勾选）：</w:t>
            </w:r>
          </w:p>
          <w:p w14:paraId="245AEA6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400" w:lineRule="exact"/>
              <w:ind w:left="0" w:right="0"/>
              <w:jc w:val="lef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□无偏离</w:t>
            </w:r>
            <w:r>
              <w:rPr>
                <w:rFonts w:hint="eastAsia" w:ascii="宋体" w:hAnsi="宋体" w:eastAsia="宋体" w:cs="宋体"/>
                <w:color w:val="auto"/>
                <w:sz w:val="21"/>
                <w:szCs w:val="21"/>
                <w:highlight w:val="none"/>
              </w:rPr>
              <w:t>（如无偏离，仅勾选无偏离即可）</w:t>
            </w:r>
          </w:p>
          <w:p w14:paraId="749C205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400" w:lineRule="exact"/>
              <w:ind w:left="0" w:right="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□有偏离</w:t>
            </w:r>
            <w:r>
              <w:rPr>
                <w:rFonts w:hint="eastAsia" w:ascii="宋体" w:hAnsi="宋体" w:eastAsia="宋体" w:cs="宋体"/>
                <w:color w:val="auto"/>
                <w:sz w:val="21"/>
                <w:szCs w:val="21"/>
                <w:highlight w:val="none"/>
              </w:rPr>
              <w:t>（如有偏离，则应在本表中对偏离项逐一列明）</w:t>
            </w:r>
          </w:p>
        </w:tc>
      </w:tr>
      <w:tr w14:paraId="460B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60" w:type="dxa"/>
            <w:noWrap w:val="0"/>
            <w:vAlign w:val="center"/>
          </w:tcPr>
          <w:p w14:paraId="6DA18A7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54" w:type="dxa"/>
            <w:gridSpan w:val="2"/>
            <w:noWrap w:val="0"/>
            <w:vAlign w:val="center"/>
          </w:tcPr>
          <w:p w14:paraId="227C9DC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w:t>
            </w:r>
            <w:r>
              <w:rPr>
                <w:rFonts w:hint="eastAsia" w:ascii="宋体" w:hAnsi="宋体" w:cs="宋体"/>
                <w:color w:val="auto"/>
                <w:sz w:val="21"/>
                <w:szCs w:val="21"/>
                <w:highlight w:val="none"/>
                <w:lang w:eastAsia="zh-CN"/>
              </w:rPr>
              <w:t>章节号</w:t>
            </w:r>
            <w:r>
              <w:rPr>
                <w:rFonts w:hint="eastAsia" w:ascii="宋体" w:hAnsi="宋体" w:eastAsia="宋体" w:cs="宋体"/>
                <w:color w:val="auto"/>
                <w:sz w:val="21"/>
                <w:szCs w:val="21"/>
                <w:highlight w:val="none"/>
              </w:rPr>
              <w:t>（页码）</w:t>
            </w:r>
          </w:p>
        </w:tc>
        <w:tc>
          <w:tcPr>
            <w:tcW w:w="2476" w:type="dxa"/>
            <w:noWrap w:val="0"/>
            <w:vAlign w:val="center"/>
          </w:tcPr>
          <w:p w14:paraId="1116089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招标文件要求</w:t>
            </w:r>
          </w:p>
        </w:tc>
        <w:tc>
          <w:tcPr>
            <w:tcW w:w="1559" w:type="dxa"/>
            <w:noWrap w:val="0"/>
            <w:vAlign w:val="center"/>
          </w:tcPr>
          <w:p w14:paraId="54D68BC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投标文件内容</w:t>
            </w:r>
          </w:p>
        </w:tc>
        <w:tc>
          <w:tcPr>
            <w:tcW w:w="1872" w:type="dxa"/>
            <w:noWrap w:val="0"/>
            <w:vAlign w:val="center"/>
          </w:tcPr>
          <w:p w14:paraId="198E541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862" w:type="dxa"/>
            <w:noWrap w:val="0"/>
            <w:vAlign w:val="center"/>
          </w:tcPr>
          <w:p w14:paraId="6D101E7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1AD1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60" w:type="dxa"/>
            <w:noWrap w:val="0"/>
            <w:vAlign w:val="center"/>
          </w:tcPr>
          <w:p w14:paraId="46DFBC3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154" w:type="dxa"/>
            <w:gridSpan w:val="2"/>
            <w:noWrap w:val="0"/>
            <w:vAlign w:val="center"/>
          </w:tcPr>
          <w:p w14:paraId="11B155A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476" w:type="dxa"/>
            <w:noWrap w:val="0"/>
            <w:vAlign w:val="center"/>
          </w:tcPr>
          <w:p w14:paraId="4375583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559" w:type="dxa"/>
            <w:noWrap w:val="0"/>
            <w:vAlign w:val="center"/>
          </w:tcPr>
          <w:p w14:paraId="28BD388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872" w:type="dxa"/>
            <w:noWrap w:val="0"/>
            <w:vAlign w:val="center"/>
          </w:tcPr>
          <w:p w14:paraId="02697FA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862" w:type="dxa"/>
            <w:noWrap w:val="0"/>
            <w:vAlign w:val="center"/>
          </w:tcPr>
          <w:p w14:paraId="505A8B9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r>
      <w:tr w14:paraId="1CF8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60" w:type="dxa"/>
            <w:noWrap w:val="0"/>
            <w:vAlign w:val="center"/>
          </w:tcPr>
          <w:p w14:paraId="0223484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154" w:type="dxa"/>
            <w:gridSpan w:val="2"/>
            <w:noWrap w:val="0"/>
            <w:vAlign w:val="center"/>
          </w:tcPr>
          <w:p w14:paraId="4B8AA5B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476" w:type="dxa"/>
            <w:noWrap w:val="0"/>
            <w:vAlign w:val="center"/>
          </w:tcPr>
          <w:p w14:paraId="7EB42C8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559" w:type="dxa"/>
            <w:noWrap w:val="0"/>
            <w:vAlign w:val="center"/>
          </w:tcPr>
          <w:p w14:paraId="728A109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872" w:type="dxa"/>
            <w:noWrap w:val="0"/>
            <w:vAlign w:val="center"/>
          </w:tcPr>
          <w:p w14:paraId="30FA8EA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862" w:type="dxa"/>
            <w:noWrap w:val="0"/>
            <w:vAlign w:val="center"/>
          </w:tcPr>
          <w:p w14:paraId="1C8F03C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r>
      <w:tr w14:paraId="4D2B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60" w:type="dxa"/>
            <w:noWrap w:val="0"/>
            <w:vAlign w:val="center"/>
          </w:tcPr>
          <w:p w14:paraId="2FE33B3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54" w:type="dxa"/>
            <w:gridSpan w:val="2"/>
            <w:noWrap w:val="0"/>
            <w:vAlign w:val="center"/>
          </w:tcPr>
          <w:p w14:paraId="2DA3BD5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476" w:type="dxa"/>
            <w:noWrap w:val="0"/>
            <w:vAlign w:val="center"/>
          </w:tcPr>
          <w:p w14:paraId="2ED51B9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559" w:type="dxa"/>
            <w:noWrap w:val="0"/>
            <w:vAlign w:val="center"/>
          </w:tcPr>
          <w:p w14:paraId="194254F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872" w:type="dxa"/>
            <w:noWrap w:val="0"/>
            <w:vAlign w:val="center"/>
          </w:tcPr>
          <w:p w14:paraId="1D80595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862" w:type="dxa"/>
            <w:noWrap w:val="0"/>
            <w:vAlign w:val="center"/>
          </w:tcPr>
          <w:p w14:paraId="207C928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r>
    </w:tbl>
    <w:p w14:paraId="3300869E">
      <w:pPr>
        <w:keepNext w:val="0"/>
        <w:keepLines w:val="0"/>
        <w:pageBreakBefore w:val="0"/>
        <w:widowControl w:val="0"/>
        <w:shd w:val="clear"/>
        <w:tabs>
          <w:tab w:val="left" w:pos="1800"/>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注：</w:t>
      </w:r>
    </w:p>
    <w:p w14:paraId="47BE753C">
      <w:pPr>
        <w:keepNext w:val="0"/>
        <w:keepLines w:val="0"/>
        <w:pageBreakBefore w:val="0"/>
        <w:widowControl w:val="0"/>
        <w:shd w:val="clear"/>
        <w:tabs>
          <w:tab w:val="left" w:pos="1800"/>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1.对合同条款中的所有要求，除本表所列明的所有偏离外，均视作</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已对之理解和响应。</w:t>
      </w:r>
    </w:p>
    <w:p w14:paraId="3D459AF8">
      <w:pPr>
        <w:keepNext w:val="0"/>
        <w:keepLines w:val="0"/>
        <w:pageBreakBefore w:val="0"/>
        <w:widowControl w:val="0"/>
        <w:shd w:val="clear"/>
        <w:tabs>
          <w:tab w:val="left" w:pos="1800"/>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2.“偏离情况”列应据实填写“正偏离”或“负偏离”。</w:t>
      </w:r>
    </w:p>
    <w:p w14:paraId="73DBED99">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 </w:t>
      </w:r>
      <w:r>
        <w:rPr>
          <w:rFonts w:hint="eastAsia" w:ascii="宋体" w:hAnsi="宋体" w:eastAsia="宋体" w:cs="宋体"/>
          <w:color w:val="auto"/>
          <w:sz w:val="21"/>
          <w:szCs w:val="21"/>
          <w:highlight w:val="none"/>
          <w:lang w:val="zh-CN"/>
        </w:rPr>
        <w:br w:type="textWrapping"/>
      </w:r>
      <w:r>
        <w:rPr>
          <w:rFonts w:hint="eastAsia" w:ascii="宋体" w:hAnsi="宋体" w:eastAsia="宋体" w:cs="宋体"/>
          <w:color w:val="auto"/>
          <w:sz w:val="21"/>
          <w:szCs w:val="21"/>
          <w:highlight w:val="none"/>
          <w:lang w:val="zh-CN"/>
        </w:rPr>
        <w:t xml:space="preserve">                     </w:t>
      </w:r>
    </w:p>
    <w:p w14:paraId="60BE0A46">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3AA23B6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 xml:space="preserve">日期：    年    月    日   </w:t>
      </w:r>
    </w:p>
    <w:p w14:paraId="1459B8E3">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54BD77">
      <w:pPr>
        <w:keepNext w:val="0"/>
        <w:keepLines w:val="0"/>
        <w:pageBreakBefore w:val="0"/>
        <w:widowControl w:val="0"/>
        <w:shd w:val="clear"/>
        <w:kinsoku/>
        <w:wordWrap/>
        <w:overflowPunct/>
        <w:topLinePunct/>
        <w:autoSpaceDE/>
        <w:autoSpaceDN/>
        <w:bidi w:val="0"/>
        <w:adjustRightInd w:val="0"/>
        <w:snapToGrid w:val="0"/>
        <w:jc w:val="left"/>
        <w:outlineLvl w:val="1"/>
        <w:rPr>
          <w:rFonts w:hint="eastAsia" w:ascii="宋体" w:hAnsi="宋体" w:eastAsia="宋体" w:cs="宋体"/>
          <w:color w:val="auto"/>
          <w:sz w:val="24"/>
          <w:szCs w:val="20"/>
          <w:highlight w:val="none"/>
        </w:rPr>
      </w:pPr>
      <w:r>
        <w:rPr>
          <w:rFonts w:hint="eastAsia" w:ascii="宋体" w:hAnsi="宋体" w:cs="宋体"/>
          <w:b/>
          <w:bCs/>
          <w:color w:val="auto"/>
          <w:sz w:val="24"/>
          <w:szCs w:val="20"/>
          <w:highlight w:val="none"/>
          <w:lang w:val="en-US" w:eastAsia="zh-CN"/>
        </w:rPr>
        <w:t>7</w:t>
      </w:r>
      <w:r>
        <w:rPr>
          <w:rFonts w:hint="eastAsia" w:ascii="宋体" w:hAnsi="宋体" w:eastAsia="宋体" w:cs="宋体"/>
          <w:b/>
          <w:bCs/>
          <w:color w:val="auto"/>
          <w:sz w:val="24"/>
          <w:szCs w:val="20"/>
          <w:highlight w:val="none"/>
          <w:lang w:val="en-US" w:eastAsia="zh-CN"/>
        </w:rPr>
        <w:t xml:space="preserve">  </w:t>
      </w:r>
      <w:r>
        <w:rPr>
          <w:rFonts w:hint="eastAsia" w:ascii="宋体" w:hAnsi="宋体" w:eastAsia="宋体" w:cs="宋体"/>
          <w:b/>
          <w:bCs/>
          <w:color w:val="auto"/>
          <w:sz w:val="24"/>
          <w:szCs w:val="20"/>
          <w:highlight w:val="none"/>
        </w:rPr>
        <w:t>采购需求偏离表（实质性格式）</w:t>
      </w:r>
    </w:p>
    <w:p w14:paraId="2268F002">
      <w:pPr>
        <w:keepNext w:val="0"/>
        <w:keepLines w:val="0"/>
        <w:pageBreakBefore w:val="0"/>
        <w:widowControl w:val="0"/>
        <w:shd w:val="clear"/>
        <w:tabs>
          <w:tab w:val="left" w:pos="2775"/>
          <w:tab w:val="center" w:pos="4153"/>
        </w:tabs>
        <w:kinsoku/>
        <w:wordWrap/>
        <w:overflowPunct/>
        <w:topLinePunct/>
        <w:autoSpaceDE/>
        <w:autoSpaceDN/>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采购需求偏离表</w:t>
      </w:r>
    </w:p>
    <w:tbl>
      <w:tblPr>
        <w:tblStyle w:val="18"/>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374"/>
        <w:gridCol w:w="1627"/>
        <w:gridCol w:w="1009"/>
      </w:tblGrid>
      <w:tr w14:paraId="2A57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7" w:type="dxa"/>
            <w:gridSpan w:val="2"/>
            <w:noWrap w:val="0"/>
            <w:vAlign w:val="center"/>
          </w:tcPr>
          <w:p w14:paraId="5A21A54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项目编号</w:t>
            </w:r>
          </w:p>
        </w:tc>
        <w:tc>
          <w:tcPr>
            <w:tcW w:w="7394" w:type="dxa"/>
            <w:gridSpan w:val="4"/>
            <w:noWrap w:val="0"/>
            <w:vAlign w:val="center"/>
          </w:tcPr>
          <w:p w14:paraId="7426CD8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宋体" w:hAnsi="宋体" w:cs="宋体"/>
                <w:b/>
                <w:color w:val="auto"/>
                <w:sz w:val="21"/>
                <w:szCs w:val="21"/>
                <w:highlight w:val="none"/>
                <w:lang w:val="en-US" w:eastAsia="zh-CN"/>
              </w:rPr>
            </w:pPr>
            <w:r>
              <w:rPr>
                <w:rFonts w:hint="eastAsia" w:ascii="宋体" w:hAnsi="宋体" w:cs="宋体"/>
                <w:b/>
                <w:bCs/>
                <w:color w:val="auto"/>
                <w:sz w:val="21"/>
                <w:szCs w:val="21"/>
                <w:highlight w:val="none"/>
                <w:lang w:val="en-US" w:eastAsia="zh-CN"/>
              </w:rPr>
              <w:t>JSZC-320404-QFZB-G2026-0012</w:t>
            </w:r>
            <w:r>
              <w:rPr>
                <w:rFonts w:hint="eastAsia" w:ascii="宋体" w:hAnsi="宋体" w:cs="宋体"/>
                <w:b/>
                <w:bCs/>
                <w:color w:val="auto"/>
                <w:sz w:val="21"/>
                <w:szCs w:val="21"/>
                <w:highlight w:val="none"/>
                <w:lang w:val="en-US" w:eastAsia="zh-CN"/>
              </w:rPr>
              <w:tab/>
            </w:r>
          </w:p>
        </w:tc>
      </w:tr>
      <w:tr w14:paraId="12BC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7" w:type="dxa"/>
            <w:gridSpan w:val="2"/>
            <w:noWrap w:val="0"/>
            <w:vAlign w:val="center"/>
          </w:tcPr>
          <w:p w14:paraId="6181FFA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项目名称</w:t>
            </w:r>
          </w:p>
        </w:tc>
        <w:tc>
          <w:tcPr>
            <w:tcW w:w="7394" w:type="dxa"/>
            <w:gridSpan w:val="4"/>
            <w:noWrap w:val="0"/>
            <w:vAlign w:val="center"/>
          </w:tcPr>
          <w:p w14:paraId="575EA6F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b/>
                <w:bCs/>
                <w:color w:val="auto"/>
                <w:sz w:val="21"/>
                <w:szCs w:val="21"/>
                <w:highlight w:val="none"/>
                <w:lang w:val="en-US" w:eastAsia="zh-CN"/>
              </w:rPr>
              <w:t>常州市钟楼区行政中心机关食堂餐饮服务及管理项目</w:t>
            </w:r>
          </w:p>
        </w:tc>
      </w:tr>
      <w:tr w14:paraId="2BCD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1" w:type="dxa"/>
            <w:gridSpan w:val="6"/>
            <w:noWrap w:val="0"/>
            <w:vAlign w:val="center"/>
          </w:tcPr>
          <w:p w14:paraId="1759BE0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400" w:lineRule="exact"/>
              <w:ind w:left="0" w:right="0"/>
              <w:jc w:val="lef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对本项目</w:t>
            </w:r>
            <w:r>
              <w:rPr>
                <w:rFonts w:hint="eastAsia" w:ascii="宋体" w:hAnsi="宋体" w:cs="宋体"/>
                <w:b/>
                <w:color w:val="auto"/>
                <w:sz w:val="21"/>
                <w:szCs w:val="21"/>
                <w:highlight w:val="none"/>
                <w:lang w:val="en-US" w:eastAsia="zh-CN"/>
              </w:rPr>
              <w:t>采购需求</w:t>
            </w:r>
            <w:r>
              <w:rPr>
                <w:rFonts w:hint="eastAsia" w:ascii="宋体" w:hAnsi="宋体" w:eastAsia="宋体" w:cs="宋体"/>
                <w:b/>
                <w:color w:val="auto"/>
                <w:sz w:val="21"/>
                <w:szCs w:val="21"/>
                <w:highlight w:val="none"/>
              </w:rPr>
              <w:t>的偏离情况（请进行勾选）：</w:t>
            </w:r>
          </w:p>
          <w:p w14:paraId="23CB544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400" w:lineRule="exact"/>
              <w:ind w:left="0" w:right="0"/>
              <w:jc w:val="lef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□无偏离</w:t>
            </w:r>
            <w:r>
              <w:rPr>
                <w:rFonts w:hint="eastAsia" w:ascii="宋体" w:hAnsi="宋体" w:eastAsia="宋体" w:cs="宋体"/>
                <w:color w:val="auto"/>
                <w:sz w:val="21"/>
                <w:szCs w:val="21"/>
                <w:highlight w:val="none"/>
              </w:rPr>
              <w:t>（如无偏离，仅勾选无偏离即可）</w:t>
            </w:r>
          </w:p>
          <w:p w14:paraId="5B66D11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400" w:lineRule="exact"/>
              <w:ind w:left="0" w:leftChars="0" w:right="0" w:rightChars="0"/>
              <w:jc w:val="both"/>
              <w:textAlignment w:val="auto"/>
              <w:rPr>
                <w:rFonts w:hint="eastAsia" w:ascii="宋体" w:hAnsi="宋体" w:cs="宋体"/>
                <w:b/>
                <w:color w:val="auto"/>
                <w:sz w:val="21"/>
                <w:szCs w:val="21"/>
                <w:highlight w:val="none"/>
                <w:lang w:eastAsia="zh-CN"/>
              </w:rPr>
            </w:pPr>
            <w:r>
              <w:rPr>
                <w:rFonts w:hint="eastAsia" w:ascii="宋体" w:hAnsi="宋体" w:eastAsia="宋体" w:cs="宋体"/>
                <w:b/>
                <w:color w:val="auto"/>
                <w:sz w:val="21"/>
                <w:szCs w:val="21"/>
                <w:highlight w:val="none"/>
              </w:rPr>
              <w:t>□有偏离</w:t>
            </w:r>
            <w:r>
              <w:rPr>
                <w:rFonts w:hint="eastAsia" w:ascii="宋体" w:hAnsi="宋体" w:eastAsia="宋体" w:cs="宋体"/>
                <w:color w:val="auto"/>
                <w:sz w:val="21"/>
                <w:szCs w:val="21"/>
                <w:highlight w:val="none"/>
              </w:rPr>
              <w:t>（如有偏离，则应在本表中对偏离项逐一列明）</w:t>
            </w:r>
          </w:p>
        </w:tc>
      </w:tr>
      <w:tr w14:paraId="6D11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noWrap w:val="0"/>
            <w:vAlign w:val="center"/>
          </w:tcPr>
          <w:p w14:paraId="7EF4F94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82" w:type="dxa"/>
            <w:noWrap w:val="0"/>
            <w:vAlign w:val="center"/>
          </w:tcPr>
          <w:p w14:paraId="1D87374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w:t>
            </w:r>
          </w:p>
          <w:p w14:paraId="0CA0E0E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章节号</w:t>
            </w:r>
            <w:r>
              <w:rPr>
                <w:rFonts w:hint="eastAsia" w:ascii="宋体" w:hAnsi="宋体" w:eastAsia="宋体" w:cs="宋体"/>
                <w:color w:val="auto"/>
                <w:sz w:val="21"/>
                <w:szCs w:val="21"/>
                <w:highlight w:val="none"/>
              </w:rPr>
              <w:t>(页码)</w:t>
            </w:r>
          </w:p>
        </w:tc>
        <w:tc>
          <w:tcPr>
            <w:tcW w:w="2384" w:type="dxa"/>
            <w:noWrap w:val="0"/>
            <w:vAlign w:val="center"/>
          </w:tcPr>
          <w:p w14:paraId="22F5D9C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招标文件要求</w:t>
            </w:r>
          </w:p>
        </w:tc>
        <w:tc>
          <w:tcPr>
            <w:tcW w:w="2374" w:type="dxa"/>
            <w:noWrap w:val="0"/>
            <w:vAlign w:val="center"/>
          </w:tcPr>
          <w:p w14:paraId="5A10CD5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投标响应内容</w:t>
            </w:r>
          </w:p>
        </w:tc>
        <w:tc>
          <w:tcPr>
            <w:tcW w:w="1627" w:type="dxa"/>
            <w:noWrap w:val="0"/>
            <w:vAlign w:val="center"/>
          </w:tcPr>
          <w:p w14:paraId="4AC2A38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1009" w:type="dxa"/>
            <w:noWrap w:val="0"/>
            <w:vAlign w:val="center"/>
          </w:tcPr>
          <w:p w14:paraId="506EC10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270B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5661370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482" w:type="dxa"/>
            <w:noWrap w:val="0"/>
            <w:vAlign w:val="center"/>
          </w:tcPr>
          <w:p w14:paraId="083ECF3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384" w:type="dxa"/>
            <w:noWrap w:val="0"/>
            <w:vAlign w:val="center"/>
          </w:tcPr>
          <w:p w14:paraId="2CFE89D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374" w:type="dxa"/>
            <w:noWrap w:val="0"/>
            <w:vAlign w:val="center"/>
          </w:tcPr>
          <w:p w14:paraId="5F21C6C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627" w:type="dxa"/>
            <w:noWrap w:val="0"/>
            <w:vAlign w:val="center"/>
          </w:tcPr>
          <w:p w14:paraId="388B16E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009" w:type="dxa"/>
            <w:noWrap w:val="0"/>
            <w:vAlign w:val="center"/>
          </w:tcPr>
          <w:p w14:paraId="1A6A096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r>
      <w:tr w14:paraId="5CF4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275A383D">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482" w:type="dxa"/>
            <w:noWrap w:val="0"/>
            <w:vAlign w:val="center"/>
          </w:tcPr>
          <w:p w14:paraId="25D5E62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384" w:type="dxa"/>
            <w:noWrap w:val="0"/>
            <w:vAlign w:val="center"/>
          </w:tcPr>
          <w:p w14:paraId="50C5938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374" w:type="dxa"/>
            <w:noWrap w:val="0"/>
            <w:vAlign w:val="center"/>
          </w:tcPr>
          <w:p w14:paraId="129D5BE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627" w:type="dxa"/>
            <w:noWrap w:val="0"/>
            <w:vAlign w:val="center"/>
          </w:tcPr>
          <w:p w14:paraId="3784ACB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009" w:type="dxa"/>
            <w:noWrap w:val="0"/>
            <w:vAlign w:val="center"/>
          </w:tcPr>
          <w:p w14:paraId="72EA6E9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r>
      <w:tr w14:paraId="510B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78B82DC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482" w:type="dxa"/>
            <w:noWrap w:val="0"/>
            <w:vAlign w:val="center"/>
          </w:tcPr>
          <w:p w14:paraId="2A9AE57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384" w:type="dxa"/>
            <w:noWrap w:val="0"/>
            <w:vAlign w:val="center"/>
          </w:tcPr>
          <w:p w14:paraId="70800C9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2374" w:type="dxa"/>
            <w:noWrap w:val="0"/>
            <w:vAlign w:val="center"/>
          </w:tcPr>
          <w:p w14:paraId="2B8F438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627" w:type="dxa"/>
            <w:noWrap w:val="0"/>
            <w:vAlign w:val="center"/>
          </w:tcPr>
          <w:p w14:paraId="0B29924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c>
          <w:tcPr>
            <w:tcW w:w="1009" w:type="dxa"/>
            <w:noWrap w:val="0"/>
            <w:vAlign w:val="center"/>
          </w:tcPr>
          <w:p w14:paraId="7C29B8A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21"/>
                <w:szCs w:val="21"/>
                <w:highlight w:val="none"/>
              </w:rPr>
            </w:pPr>
          </w:p>
        </w:tc>
      </w:tr>
    </w:tbl>
    <w:p w14:paraId="5143B1CF">
      <w:pPr>
        <w:keepNext w:val="0"/>
        <w:keepLines w:val="0"/>
        <w:pageBreakBefore w:val="0"/>
        <w:widowControl w:val="0"/>
        <w:shd w:val="clear"/>
        <w:tabs>
          <w:tab w:val="left" w:pos="1800"/>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注：</w:t>
      </w:r>
    </w:p>
    <w:p w14:paraId="3000DD50">
      <w:pPr>
        <w:keepNext w:val="0"/>
        <w:keepLines w:val="0"/>
        <w:pageBreakBefore w:val="0"/>
        <w:widowControl w:val="0"/>
        <w:shd w:val="clear"/>
        <w:tabs>
          <w:tab w:val="left" w:pos="1800"/>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对招标文件中的所有商务、技术要求，除本表所列明的所有偏离外，均视作</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已对之理解和响应。</w:t>
      </w:r>
    </w:p>
    <w:p w14:paraId="2142A459">
      <w:pPr>
        <w:keepNext w:val="0"/>
        <w:keepLines w:val="0"/>
        <w:pageBreakBefore w:val="0"/>
        <w:widowControl w:val="0"/>
        <w:shd w:val="clear"/>
        <w:tabs>
          <w:tab w:val="left" w:pos="1800"/>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2.“偏离情况”列应据实填写“正偏离”或“负偏离”。</w:t>
      </w:r>
    </w:p>
    <w:p w14:paraId="6C31D72D">
      <w:pPr>
        <w:keepNext w:val="0"/>
        <w:keepLines w:val="0"/>
        <w:pageBreakBefore w:val="0"/>
        <w:widowControl w:val="0"/>
        <w:shd w:val="clear"/>
        <w:tabs>
          <w:tab w:val="left" w:pos="1800"/>
          <w:tab w:val="left" w:pos="5580"/>
        </w:tabs>
        <w:kinsoku/>
        <w:wordWrap/>
        <w:overflowPunct/>
        <w:topLinePunct/>
        <w:autoSpaceDE/>
        <w:autoSpaceDN/>
        <w:bidi w:val="0"/>
        <w:adjustRightInd w:val="0"/>
        <w:snapToGrid w:val="0"/>
        <w:spacing w:line="360" w:lineRule="auto"/>
        <w:jc w:val="left"/>
        <w:textAlignment w:val="auto"/>
        <w:outlineLvl w:val="9"/>
        <w:rPr>
          <w:rFonts w:hint="eastAsia" w:ascii="宋体" w:hAnsi="宋体" w:eastAsia="宋体" w:cs="宋体"/>
          <w:color w:val="auto"/>
          <w:sz w:val="21"/>
          <w:szCs w:val="21"/>
          <w:highlight w:val="none"/>
        </w:rPr>
      </w:pPr>
    </w:p>
    <w:p w14:paraId="231567A3">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                  </w:t>
      </w:r>
    </w:p>
    <w:p w14:paraId="5536B315">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                     </w:t>
      </w:r>
    </w:p>
    <w:p w14:paraId="552734AE">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383DBC9B">
      <w:pPr>
        <w:keepNext w:val="0"/>
        <w:keepLines w:val="0"/>
        <w:pageBreakBefore w:val="0"/>
        <w:widowControl w:val="0"/>
        <w:shd w:val="clear"/>
        <w:kinsoku/>
        <w:wordWrap/>
        <w:overflowPunct/>
        <w:topLinePunct/>
        <w:autoSpaceDE/>
        <w:autoSpaceDN/>
        <w:bidi w:val="0"/>
        <w:adjustRightInd w:val="0"/>
        <w:snapToGrid w:val="0"/>
        <w:outlineLvl w:val="9"/>
        <w:rPr>
          <w:rFonts w:hint="eastAsia" w:ascii="宋体" w:hAnsi="宋体" w:eastAsia="宋体" w:cs="宋体"/>
          <w:color w:val="auto"/>
          <w:sz w:val="24"/>
          <w:szCs w:val="20"/>
          <w:highlight w:val="none"/>
        </w:rPr>
      </w:pPr>
      <w:r>
        <w:rPr>
          <w:rFonts w:hint="eastAsia" w:ascii="宋体" w:hAnsi="宋体" w:eastAsia="宋体" w:cs="宋体"/>
          <w:color w:val="auto"/>
          <w:sz w:val="21"/>
          <w:szCs w:val="21"/>
          <w:highlight w:val="none"/>
        </w:rPr>
        <w:t xml:space="preserve">日期：    年    月    日 </w:t>
      </w:r>
    </w:p>
    <w:p w14:paraId="0435C78C">
      <w:pPr>
        <w:keepNext w:val="0"/>
        <w:keepLines w:val="0"/>
        <w:pageBreakBefore w:val="0"/>
        <w:widowControl w:val="0"/>
        <w:kinsoku/>
        <w:wordWrap/>
        <w:overflowPunct/>
        <w:topLinePunct/>
        <w:autoSpaceDE/>
        <w:autoSpaceDN/>
        <w:bidi w:val="0"/>
        <w:adjustRightInd w:val="0"/>
        <w:snapToGrid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F47E768">
      <w:pPr>
        <w:keepNext w:val="0"/>
        <w:keepLines w:val="0"/>
        <w:pageBreakBefore w:val="0"/>
        <w:widowControl w:val="0"/>
        <w:kinsoku/>
        <w:wordWrap/>
        <w:overflowPunct/>
        <w:topLinePunct/>
        <w:autoSpaceDE/>
        <w:autoSpaceDN/>
        <w:bidi w:val="0"/>
        <w:adjustRightInd w:val="0"/>
        <w:snapToGrid w:val="0"/>
        <w:spacing w:beforeLines="0" w:afterLines="0" w:line="360" w:lineRule="auto"/>
        <w:outlineLvl w:val="1"/>
        <w:rPr>
          <w:rFonts w:hint="eastAsia" w:ascii="宋体" w:hAnsi="宋体" w:eastAsia="宋体" w:cs="宋体"/>
          <w:b/>
          <w:color w:val="auto"/>
          <w:sz w:val="24"/>
          <w:szCs w:val="20"/>
          <w:highlight w:val="none"/>
          <w:lang w:eastAsia="zh-CN"/>
        </w:rPr>
      </w:pPr>
      <w:r>
        <w:rPr>
          <w:rFonts w:hint="eastAsia" w:ascii="宋体" w:hAnsi="宋体" w:cs="宋体"/>
          <w:b/>
          <w:color w:val="auto"/>
          <w:sz w:val="24"/>
          <w:szCs w:val="24"/>
          <w:highlight w:val="none"/>
          <w:lang w:val="en-US" w:eastAsia="zh-CN"/>
        </w:rPr>
        <w:t>8</w:t>
      </w:r>
      <w:r>
        <w:rPr>
          <w:rFonts w:hint="default" w:ascii="宋体" w:hAnsi="宋体" w:eastAsia="宋体" w:cs="宋体"/>
          <w:b/>
          <w:color w:val="auto"/>
          <w:sz w:val="24"/>
          <w:szCs w:val="24"/>
          <w:highlight w:val="none"/>
        </w:rPr>
        <w:t xml:space="preserve">  符合性审查表</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实质性格式</w:t>
      </w:r>
      <w:r>
        <w:rPr>
          <w:rFonts w:hint="eastAsia" w:ascii="宋体" w:hAnsi="宋体" w:eastAsia="宋体" w:cs="宋体"/>
          <w:b/>
          <w:color w:val="auto"/>
          <w:sz w:val="24"/>
          <w:szCs w:val="24"/>
          <w:highlight w:val="none"/>
          <w:lang w:eastAsia="zh-CN"/>
        </w:rPr>
        <w:t>）</w:t>
      </w:r>
    </w:p>
    <w:p w14:paraId="7A2A4CBA">
      <w:pPr>
        <w:keepNext w:val="0"/>
        <w:keepLines w:val="0"/>
        <w:pageBreakBefore w:val="0"/>
        <w:widowControl w:val="0"/>
        <w:kinsoku/>
        <w:wordWrap/>
        <w:overflowPunct/>
        <w:topLinePunct/>
        <w:autoSpaceDE/>
        <w:autoSpaceDN/>
        <w:bidi w:val="0"/>
        <w:adjustRightInd w:val="0"/>
        <w:snapToGrid w:val="0"/>
        <w:spacing w:line="360" w:lineRule="auto"/>
        <w:jc w:val="center"/>
        <w:textAlignment w:val="auto"/>
        <w:outlineLvl w:val="9"/>
        <w:rPr>
          <w:rFonts w:hint="eastAsia" w:ascii="宋体" w:hAnsi="宋体" w:cs="宋体"/>
          <w:b/>
          <w:color w:val="auto"/>
          <w:kern w:val="0"/>
          <w:sz w:val="24"/>
          <w:highlight w:val="none"/>
          <w:lang w:val="en-US" w:eastAsia="zh-CN"/>
        </w:rPr>
      </w:pPr>
      <w:r>
        <w:rPr>
          <w:rFonts w:hint="eastAsia" w:ascii="宋体" w:hAnsi="宋体" w:cs="宋体"/>
          <w:b/>
          <w:color w:val="auto"/>
          <w:kern w:val="0"/>
          <w:sz w:val="24"/>
          <w:highlight w:val="none"/>
        </w:rPr>
        <w:t>符合性审查</w:t>
      </w:r>
      <w:r>
        <w:rPr>
          <w:rFonts w:hint="eastAsia" w:ascii="宋体" w:hAnsi="宋体" w:cs="宋体"/>
          <w:b/>
          <w:color w:val="auto"/>
          <w:kern w:val="0"/>
          <w:sz w:val="24"/>
          <w:highlight w:val="none"/>
          <w:lang w:val="en-US" w:eastAsia="zh-CN"/>
        </w:rPr>
        <w:t>表</w:t>
      </w:r>
    </w:p>
    <w:tbl>
      <w:tblPr>
        <w:tblStyle w:val="18"/>
        <w:tblW w:w="54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2199"/>
        <w:gridCol w:w="7246"/>
      </w:tblGrid>
      <w:tr w14:paraId="6465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noWrap w:val="0"/>
            <w:vAlign w:val="center"/>
          </w:tcPr>
          <w:p w14:paraId="73AEC2E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b/>
                <w:bCs/>
                <w:color w:val="auto"/>
                <w:kern w:val="0"/>
                <w:sz w:val="15"/>
                <w:szCs w:val="15"/>
                <w:highlight w:val="none"/>
              </w:rPr>
            </w:pPr>
            <w:r>
              <w:rPr>
                <w:rFonts w:hint="eastAsia" w:ascii="宋体" w:hAnsi="宋体" w:eastAsia="宋体" w:cs="宋体"/>
                <w:b/>
                <w:bCs/>
                <w:color w:val="auto"/>
                <w:kern w:val="0"/>
                <w:sz w:val="15"/>
                <w:szCs w:val="15"/>
                <w:highlight w:val="none"/>
              </w:rPr>
              <w:t>序号</w:t>
            </w:r>
          </w:p>
        </w:tc>
        <w:tc>
          <w:tcPr>
            <w:tcW w:w="1092" w:type="pct"/>
            <w:noWrap w:val="0"/>
            <w:vAlign w:val="center"/>
          </w:tcPr>
          <w:p w14:paraId="01F77FE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b/>
                <w:bCs/>
                <w:color w:val="auto"/>
                <w:kern w:val="0"/>
                <w:sz w:val="15"/>
                <w:szCs w:val="15"/>
                <w:highlight w:val="none"/>
              </w:rPr>
            </w:pPr>
            <w:r>
              <w:rPr>
                <w:rFonts w:hint="eastAsia" w:ascii="宋体" w:hAnsi="宋体" w:eastAsia="宋体" w:cs="宋体"/>
                <w:b/>
                <w:bCs/>
                <w:color w:val="auto"/>
                <w:kern w:val="0"/>
                <w:sz w:val="15"/>
                <w:szCs w:val="15"/>
                <w:highlight w:val="none"/>
              </w:rPr>
              <w:t>审查因素</w:t>
            </w:r>
          </w:p>
        </w:tc>
        <w:tc>
          <w:tcPr>
            <w:tcW w:w="3598" w:type="pct"/>
            <w:noWrap w:val="0"/>
            <w:vAlign w:val="center"/>
          </w:tcPr>
          <w:p w14:paraId="025786F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b/>
                <w:bCs/>
                <w:color w:val="auto"/>
                <w:kern w:val="0"/>
                <w:sz w:val="15"/>
                <w:szCs w:val="15"/>
                <w:highlight w:val="none"/>
              </w:rPr>
            </w:pPr>
            <w:r>
              <w:rPr>
                <w:rFonts w:hint="eastAsia" w:ascii="宋体" w:hAnsi="宋体" w:eastAsia="宋体" w:cs="宋体"/>
                <w:b/>
                <w:bCs/>
                <w:color w:val="auto"/>
                <w:kern w:val="0"/>
                <w:sz w:val="15"/>
                <w:szCs w:val="15"/>
                <w:highlight w:val="none"/>
              </w:rPr>
              <w:t>审查内容</w:t>
            </w:r>
          </w:p>
        </w:tc>
      </w:tr>
      <w:tr w14:paraId="179E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636C5B0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w:t>
            </w:r>
          </w:p>
        </w:tc>
        <w:tc>
          <w:tcPr>
            <w:tcW w:w="1092" w:type="pct"/>
            <w:shd w:val="clear" w:color="auto" w:fill="auto"/>
            <w:noWrap w:val="0"/>
            <w:vAlign w:val="center"/>
          </w:tcPr>
          <w:p w14:paraId="5CED055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报价符合性审查</w:t>
            </w:r>
          </w:p>
        </w:tc>
        <w:tc>
          <w:tcPr>
            <w:tcW w:w="3598" w:type="pct"/>
            <w:shd w:val="clear" w:color="auto" w:fill="auto"/>
            <w:noWrap w:val="0"/>
            <w:vAlign w:val="center"/>
          </w:tcPr>
          <w:p w14:paraId="0C65B1A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报价合理，或投标人的报价明显低于其他通过符合性审查投标人的报价，有可能影响产品质量或者不能诚信履约的，能够应评标委员会要求在规定时间内证明其报价合理性的；</w:t>
            </w:r>
          </w:p>
          <w:p w14:paraId="721914D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属于投标（响应）报价低于采购项目最高限价招标文件规定比例的，即投标（响应）报价＜采购项目最高限价×招标文件预设比例，</w:t>
            </w:r>
            <w:r>
              <w:rPr>
                <w:rFonts w:hint="eastAsia" w:ascii="宋体" w:hAnsi="宋体" w:eastAsia="宋体" w:cs="宋体"/>
                <w:color w:val="auto"/>
                <w:kern w:val="0"/>
                <w:sz w:val="15"/>
                <w:szCs w:val="15"/>
                <w:highlight w:val="none"/>
                <w:lang w:val="en-US" w:eastAsia="zh-CN"/>
              </w:rPr>
              <w:t>投标人</w:t>
            </w:r>
            <w:r>
              <w:rPr>
                <w:rFonts w:hint="eastAsia" w:ascii="宋体" w:hAnsi="宋体" w:eastAsia="宋体" w:cs="宋体"/>
                <w:color w:val="auto"/>
                <w:kern w:val="0"/>
                <w:sz w:val="15"/>
                <w:szCs w:val="15"/>
                <w:highlight w:val="none"/>
              </w:rPr>
              <w:t>可随投标文件一并提交相关书面说明及必要的证明材料。</w:t>
            </w:r>
          </w:p>
        </w:tc>
      </w:tr>
      <w:tr w14:paraId="5A32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5E994C2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2</w:t>
            </w:r>
          </w:p>
        </w:tc>
        <w:tc>
          <w:tcPr>
            <w:tcW w:w="1092" w:type="pct"/>
            <w:noWrap w:val="0"/>
            <w:vAlign w:val="center"/>
          </w:tcPr>
          <w:p w14:paraId="2B6EF83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投标函、法定代表人资格证明书</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u w:val="single"/>
                <w:lang w:val="en-US" w:eastAsia="zh-CN"/>
              </w:rPr>
              <w:t>授权委托书（如有）</w:t>
            </w:r>
          </w:p>
        </w:tc>
        <w:tc>
          <w:tcPr>
            <w:tcW w:w="3598" w:type="pct"/>
            <w:noWrap w:val="0"/>
            <w:vAlign w:val="center"/>
          </w:tcPr>
          <w:p w14:paraId="2CE1904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按招标文件要求提供投标函、法定代表人资格证明书</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u w:val="single"/>
                <w:lang w:val="en-US" w:eastAsia="zh-CN"/>
              </w:rPr>
              <w:t>授权委托书（如有）</w:t>
            </w:r>
            <w:r>
              <w:rPr>
                <w:rFonts w:hint="eastAsia" w:ascii="宋体" w:hAnsi="宋体" w:eastAsia="宋体" w:cs="宋体"/>
                <w:color w:val="auto"/>
                <w:kern w:val="0"/>
                <w:sz w:val="15"/>
                <w:szCs w:val="15"/>
                <w:highlight w:val="none"/>
              </w:rPr>
              <w:t>；</w:t>
            </w:r>
          </w:p>
        </w:tc>
      </w:tr>
      <w:tr w14:paraId="05AC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1C11FE5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3</w:t>
            </w:r>
          </w:p>
        </w:tc>
        <w:tc>
          <w:tcPr>
            <w:tcW w:w="1092" w:type="pct"/>
            <w:noWrap w:val="0"/>
            <w:vAlign w:val="center"/>
          </w:tcPr>
          <w:p w14:paraId="0CFAF21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投标完整性</w:t>
            </w:r>
          </w:p>
        </w:tc>
        <w:tc>
          <w:tcPr>
            <w:tcW w:w="3598" w:type="pct"/>
            <w:noWrap w:val="0"/>
            <w:vAlign w:val="center"/>
          </w:tcPr>
          <w:p w14:paraId="11155DA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未将一个采购包中的内容拆开投标；</w:t>
            </w:r>
          </w:p>
        </w:tc>
      </w:tr>
      <w:tr w14:paraId="5233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450AB79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4</w:t>
            </w:r>
          </w:p>
        </w:tc>
        <w:tc>
          <w:tcPr>
            <w:tcW w:w="1092" w:type="pct"/>
            <w:noWrap w:val="0"/>
            <w:vAlign w:val="center"/>
          </w:tcPr>
          <w:p w14:paraId="1C787CE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投标报价</w:t>
            </w:r>
          </w:p>
        </w:tc>
        <w:tc>
          <w:tcPr>
            <w:tcW w:w="3598" w:type="pct"/>
            <w:noWrap w:val="0"/>
            <w:vAlign w:val="center"/>
          </w:tcPr>
          <w:p w14:paraId="336EEF2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投标报价未超过招标文件中规定的项目/采购包预算金额或者项目/采购包最高限价；</w:t>
            </w:r>
          </w:p>
        </w:tc>
      </w:tr>
      <w:tr w14:paraId="2463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noWrap w:val="0"/>
            <w:vAlign w:val="center"/>
          </w:tcPr>
          <w:p w14:paraId="5C92D3D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092" w:type="pct"/>
            <w:noWrap w:val="0"/>
            <w:vAlign w:val="center"/>
          </w:tcPr>
          <w:p w14:paraId="31CAE1A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报价唯一性</w:t>
            </w:r>
          </w:p>
        </w:tc>
        <w:tc>
          <w:tcPr>
            <w:tcW w:w="3598" w:type="pct"/>
            <w:noWrap w:val="0"/>
            <w:vAlign w:val="center"/>
          </w:tcPr>
          <w:p w14:paraId="5037EF1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投标文件未出现可选择性或可调整的报价（招标文件另有规定的除外）；</w:t>
            </w:r>
          </w:p>
        </w:tc>
      </w:tr>
      <w:tr w14:paraId="02F7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5F98A49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6</w:t>
            </w:r>
          </w:p>
        </w:tc>
        <w:tc>
          <w:tcPr>
            <w:tcW w:w="1092" w:type="pct"/>
            <w:shd w:val="clear" w:color="auto" w:fill="auto"/>
            <w:noWrap w:val="0"/>
            <w:vAlign w:val="center"/>
          </w:tcPr>
          <w:p w14:paraId="1CACCE4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报价的修正（如有）</w:t>
            </w:r>
          </w:p>
        </w:tc>
        <w:tc>
          <w:tcPr>
            <w:tcW w:w="3598" w:type="pct"/>
            <w:shd w:val="clear" w:color="auto" w:fill="auto"/>
            <w:noWrap w:val="0"/>
            <w:vAlign w:val="center"/>
          </w:tcPr>
          <w:p w14:paraId="545F6FC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不涉及报价修正，或投标文件报价出现前后不一致时，投标人对修正后的报价予以确认；（如有）</w:t>
            </w:r>
          </w:p>
        </w:tc>
      </w:tr>
      <w:tr w14:paraId="6F99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4A045C7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7</w:t>
            </w:r>
          </w:p>
        </w:tc>
        <w:tc>
          <w:tcPr>
            <w:tcW w:w="1092" w:type="pct"/>
            <w:noWrap w:val="0"/>
            <w:vAlign w:val="center"/>
          </w:tcPr>
          <w:p w14:paraId="0E28C76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投标有效期</w:t>
            </w:r>
          </w:p>
        </w:tc>
        <w:tc>
          <w:tcPr>
            <w:tcW w:w="3598" w:type="pct"/>
            <w:noWrap w:val="0"/>
            <w:vAlign w:val="center"/>
          </w:tcPr>
          <w:p w14:paraId="577E4D2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投标文件中承诺的投标有效期满足招标文件中载明的投标有效期的；</w:t>
            </w:r>
          </w:p>
        </w:tc>
      </w:tr>
      <w:tr w14:paraId="6854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71F5F69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8</w:t>
            </w:r>
          </w:p>
        </w:tc>
        <w:tc>
          <w:tcPr>
            <w:tcW w:w="1092" w:type="pct"/>
            <w:noWrap w:val="0"/>
            <w:vAlign w:val="center"/>
          </w:tcPr>
          <w:p w14:paraId="77B9E26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签署、加盖公章</w:t>
            </w:r>
          </w:p>
        </w:tc>
        <w:tc>
          <w:tcPr>
            <w:tcW w:w="3598" w:type="pct"/>
            <w:noWrap w:val="0"/>
            <w:vAlign w:val="center"/>
          </w:tcPr>
          <w:p w14:paraId="114A38A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按照招标文件要求签署、加盖公章的；</w:t>
            </w:r>
          </w:p>
        </w:tc>
      </w:tr>
      <w:tr w14:paraId="16CD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2AD8BF7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9</w:t>
            </w:r>
          </w:p>
        </w:tc>
        <w:tc>
          <w:tcPr>
            <w:tcW w:w="1092" w:type="pct"/>
            <w:noWrap w:val="0"/>
            <w:vAlign w:val="center"/>
          </w:tcPr>
          <w:p w14:paraId="5E193CF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实质性格式</w:t>
            </w:r>
          </w:p>
        </w:tc>
        <w:tc>
          <w:tcPr>
            <w:tcW w:w="3598" w:type="pct"/>
            <w:noWrap w:val="0"/>
            <w:vAlign w:val="center"/>
          </w:tcPr>
          <w:p w14:paraId="4FF20AE7">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标记为“实质性格式”的文件均按招标文件要求提供；</w:t>
            </w:r>
          </w:p>
        </w:tc>
      </w:tr>
      <w:tr w14:paraId="05BC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6A3C19E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10</w:t>
            </w:r>
          </w:p>
        </w:tc>
        <w:tc>
          <w:tcPr>
            <w:tcW w:w="1092" w:type="pct"/>
            <w:noWrap w:val="0"/>
            <w:vAlign w:val="center"/>
          </w:tcPr>
          <w:p w14:paraId="775104D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实质性条款响应</w:t>
            </w:r>
          </w:p>
        </w:tc>
        <w:tc>
          <w:tcPr>
            <w:tcW w:w="3598" w:type="pct"/>
            <w:noWrap w:val="0"/>
            <w:vAlign w:val="center"/>
          </w:tcPr>
          <w:p w14:paraId="3DBD364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投标文件满足招标文件第</w:t>
            </w:r>
            <w:r>
              <w:rPr>
                <w:rFonts w:hint="eastAsia" w:ascii="宋体" w:hAnsi="宋体" w:eastAsia="宋体" w:cs="宋体"/>
                <w:color w:val="auto"/>
                <w:kern w:val="0"/>
                <w:sz w:val="15"/>
                <w:szCs w:val="15"/>
                <w:highlight w:val="none"/>
                <w:lang w:val="en-US" w:eastAsia="zh-CN"/>
              </w:rPr>
              <w:t>五</w:t>
            </w:r>
            <w:r>
              <w:rPr>
                <w:rFonts w:hint="eastAsia" w:ascii="宋体" w:hAnsi="宋体" w:eastAsia="宋体" w:cs="宋体"/>
                <w:color w:val="auto"/>
                <w:kern w:val="0"/>
                <w:sz w:val="15"/>
                <w:szCs w:val="15"/>
                <w:highlight w:val="none"/>
              </w:rPr>
              <w:t>章《采购需求》中实质性条款（斜体且有下划线部分的、或者加“★”号的、或者以文字说明</w:t>
            </w:r>
            <w:r>
              <w:rPr>
                <w:rFonts w:hint="eastAsia" w:ascii="宋体" w:hAnsi="宋体" w:eastAsia="宋体" w:cs="宋体"/>
                <w:color w:val="auto"/>
                <w:kern w:val="0"/>
                <w:sz w:val="15"/>
                <w:szCs w:val="15"/>
                <w:highlight w:val="none"/>
                <w:lang w:val="en-US" w:eastAsia="zh-CN"/>
              </w:rPr>
              <w:t>等</w:t>
            </w:r>
            <w:r>
              <w:rPr>
                <w:rFonts w:hint="eastAsia" w:ascii="宋体" w:hAnsi="宋体" w:eastAsia="宋体" w:cs="宋体"/>
                <w:color w:val="auto"/>
                <w:kern w:val="0"/>
                <w:sz w:val="15"/>
                <w:szCs w:val="15"/>
                <w:highlight w:val="none"/>
              </w:rPr>
              <w:t>属于实质性要求的内容）要求的，在</w:t>
            </w:r>
            <w:r>
              <w:rPr>
                <w:rFonts w:hint="eastAsia" w:ascii="宋体" w:hAnsi="宋体" w:eastAsia="宋体" w:cs="宋体"/>
                <w:color w:val="auto"/>
                <w:kern w:val="0"/>
                <w:sz w:val="15"/>
                <w:szCs w:val="15"/>
                <w:highlight w:val="none"/>
                <w:lang w:val="en-US" w:eastAsia="zh-CN"/>
              </w:rPr>
              <w:t>投标文件中</w:t>
            </w:r>
            <w:r>
              <w:rPr>
                <w:rFonts w:hint="eastAsia" w:ascii="宋体" w:hAnsi="宋体" w:eastAsia="宋体" w:cs="宋体"/>
                <w:color w:val="auto"/>
                <w:kern w:val="0"/>
                <w:sz w:val="15"/>
                <w:szCs w:val="15"/>
                <w:highlight w:val="none"/>
              </w:rPr>
              <w:t>逐项提供相关证明材料。</w:t>
            </w:r>
          </w:p>
        </w:tc>
      </w:tr>
      <w:tr w14:paraId="2307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2CE3CB41">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11</w:t>
            </w:r>
          </w:p>
        </w:tc>
        <w:tc>
          <w:tcPr>
            <w:tcW w:w="1092" w:type="pct"/>
            <w:noWrap w:val="0"/>
            <w:vAlign w:val="center"/>
          </w:tcPr>
          <w:p w14:paraId="40B0064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分包承担主体资质（如有）</w:t>
            </w:r>
          </w:p>
        </w:tc>
        <w:tc>
          <w:tcPr>
            <w:tcW w:w="3598" w:type="pct"/>
            <w:noWrap w:val="0"/>
            <w:vAlign w:val="center"/>
          </w:tcPr>
          <w:p w14:paraId="1748888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分包承担主体具备《投标人须知资料表》载明的资质条件且提供了资质证书</w:t>
            </w:r>
            <w:r>
              <w:rPr>
                <w:rFonts w:hint="eastAsia" w:ascii="宋体" w:hAnsi="宋体" w:eastAsia="宋体" w:cs="宋体"/>
                <w:color w:val="auto"/>
                <w:kern w:val="0"/>
                <w:sz w:val="15"/>
                <w:szCs w:val="15"/>
                <w:highlight w:val="none"/>
                <w:lang w:eastAsia="zh-CN"/>
              </w:rPr>
              <w:t>复印</w:t>
            </w:r>
            <w:r>
              <w:rPr>
                <w:rFonts w:hint="eastAsia" w:ascii="宋体" w:hAnsi="宋体" w:eastAsia="宋体" w:cs="宋体"/>
                <w:color w:val="auto"/>
                <w:kern w:val="0"/>
                <w:sz w:val="15"/>
                <w:szCs w:val="15"/>
                <w:highlight w:val="none"/>
              </w:rPr>
              <w:t>件；（如有）</w:t>
            </w:r>
          </w:p>
        </w:tc>
      </w:tr>
      <w:tr w14:paraId="6D81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3EDEA315">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12</w:t>
            </w:r>
          </w:p>
        </w:tc>
        <w:tc>
          <w:tcPr>
            <w:tcW w:w="1092" w:type="pct"/>
            <w:noWrap w:val="0"/>
            <w:vAlign w:val="center"/>
          </w:tcPr>
          <w:p w14:paraId="67DBB009">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分包意向协议（如有）</w:t>
            </w:r>
          </w:p>
        </w:tc>
        <w:tc>
          <w:tcPr>
            <w:tcW w:w="3598" w:type="pct"/>
            <w:noWrap w:val="0"/>
            <w:vAlign w:val="center"/>
          </w:tcPr>
          <w:p w14:paraId="1337C41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按招标文件规定签订并提供分包意向协议原件；（如有）</w:t>
            </w:r>
          </w:p>
        </w:tc>
      </w:tr>
      <w:tr w14:paraId="1989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3E3F298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13</w:t>
            </w:r>
          </w:p>
        </w:tc>
        <w:tc>
          <w:tcPr>
            <w:tcW w:w="1092" w:type="pct"/>
            <w:noWrap w:val="0"/>
            <w:vAlign w:val="center"/>
          </w:tcPr>
          <w:p w14:paraId="6B88F2D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进口产品（如有）</w:t>
            </w:r>
          </w:p>
        </w:tc>
        <w:tc>
          <w:tcPr>
            <w:tcW w:w="3598" w:type="pct"/>
            <w:noWrap w:val="0"/>
            <w:vAlign w:val="center"/>
          </w:tcPr>
          <w:p w14:paraId="4327792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招标文件不接受进口产品投标的内容时，投标人所投产品非进口产品的；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如有</w:t>
            </w:r>
            <w:r>
              <w:rPr>
                <w:rFonts w:hint="eastAsia" w:ascii="宋体" w:hAnsi="宋体" w:eastAsia="宋体" w:cs="宋体"/>
                <w:color w:val="auto"/>
                <w:kern w:val="0"/>
                <w:sz w:val="15"/>
                <w:szCs w:val="15"/>
                <w:highlight w:val="none"/>
                <w:lang w:eastAsia="zh-CN"/>
              </w:rPr>
              <w:t>）</w:t>
            </w:r>
          </w:p>
        </w:tc>
      </w:tr>
      <w:tr w14:paraId="07F0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66EA3748">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14</w:t>
            </w:r>
          </w:p>
        </w:tc>
        <w:tc>
          <w:tcPr>
            <w:tcW w:w="1092" w:type="pct"/>
            <w:noWrap w:val="0"/>
            <w:vAlign w:val="center"/>
          </w:tcPr>
          <w:p w14:paraId="498B0A4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国家有关部门对投标人的投标产品有强制性规定或要求的</w:t>
            </w:r>
          </w:p>
        </w:tc>
        <w:tc>
          <w:tcPr>
            <w:tcW w:w="3598" w:type="pct"/>
            <w:noWrap w:val="0"/>
            <w:vAlign w:val="center"/>
          </w:tcPr>
          <w:p w14:paraId="1E35605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国家有关部门对</w:t>
            </w:r>
            <w:r>
              <w:rPr>
                <w:rFonts w:hint="eastAsia" w:ascii="宋体" w:hAnsi="宋体" w:eastAsia="宋体" w:cs="宋体"/>
                <w:color w:val="auto"/>
                <w:kern w:val="0"/>
                <w:sz w:val="15"/>
                <w:szCs w:val="15"/>
                <w:highlight w:val="none"/>
                <w:lang w:eastAsia="zh-CN"/>
              </w:rPr>
              <w:t>投标人</w:t>
            </w:r>
            <w:r>
              <w:rPr>
                <w:rFonts w:hint="eastAsia" w:ascii="宋体" w:hAnsi="宋体" w:eastAsia="宋体" w:cs="宋体"/>
                <w:color w:val="auto"/>
                <w:kern w:val="0"/>
                <w:sz w:val="15"/>
                <w:szCs w:val="15"/>
                <w:highlight w:val="none"/>
              </w:rPr>
              <w:t>的投标产品有强制性规定或要求的，如有下列情形的，</w:t>
            </w:r>
            <w:r>
              <w:rPr>
                <w:rFonts w:hint="eastAsia" w:ascii="宋体" w:hAnsi="宋体" w:eastAsia="宋体" w:cs="宋体"/>
                <w:color w:val="auto"/>
                <w:kern w:val="0"/>
                <w:sz w:val="15"/>
                <w:szCs w:val="15"/>
                <w:highlight w:val="none"/>
                <w:lang w:eastAsia="zh-CN"/>
              </w:rPr>
              <w:t>投标人</w:t>
            </w:r>
            <w:r>
              <w:rPr>
                <w:rFonts w:hint="eastAsia" w:ascii="宋体" w:hAnsi="宋体" w:eastAsia="宋体" w:cs="宋体"/>
                <w:color w:val="auto"/>
                <w:kern w:val="0"/>
                <w:sz w:val="15"/>
                <w:szCs w:val="15"/>
                <w:highlight w:val="none"/>
              </w:rPr>
              <w:t>的投标产品应符合相应规定或要求，并提供证明文件电子件：1）采购的产品若属于《节能产品政府采购品目清单》范围中政府强制采购产品，则</w:t>
            </w:r>
            <w:r>
              <w:rPr>
                <w:rFonts w:hint="eastAsia" w:ascii="宋体" w:hAnsi="宋体" w:eastAsia="宋体" w:cs="宋体"/>
                <w:color w:val="auto"/>
                <w:kern w:val="0"/>
                <w:sz w:val="15"/>
                <w:szCs w:val="15"/>
                <w:highlight w:val="none"/>
                <w:lang w:eastAsia="zh-CN"/>
              </w:rPr>
              <w:t>投标人</w:t>
            </w:r>
            <w:r>
              <w:rPr>
                <w:rFonts w:hint="eastAsia" w:ascii="宋体" w:hAnsi="宋体" w:eastAsia="宋体" w:cs="宋体"/>
                <w:color w:val="auto"/>
                <w:kern w:val="0"/>
                <w:sz w:val="15"/>
                <w:szCs w:val="15"/>
                <w:highlight w:val="none"/>
              </w:rPr>
              <w:t>所报产品必须获得国家确定的认证机构出具的、处于有效期之内的节能产品认证证书；2）国家有特殊信息安全要求的项目，采购产品涉及无线局域网产品和含有无线局域网功能的计算机、通信设备、打印机、复印机、投影仪等产品的，投标产品须为符合国家无线局域网安全标准并通过国家产品认证的产品；</w:t>
            </w:r>
          </w:p>
        </w:tc>
      </w:tr>
      <w:tr w14:paraId="529E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25E8B8B2">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15</w:t>
            </w:r>
          </w:p>
        </w:tc>
        <w:tc>
          <w:tcPr>
            <w:tcW w:w="1092" w:type="pct"/>
            <w:noWrap w:val="0"/>
            <w:vAlign w:val="center"/>
          </w:tcPr>
          <w:p w14:paraId="5294C27F">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公平竞争</w:t>
            </w:r>
          </w:p>
        </w:tc>
        <w:tc>
          <w:tcPr>
            <w:tcW w:w="3598" w:type="pct"/>
            <w:noWrap w:val="0"/>
            <w:vAlign w:val="center"/>
          </w:tcPr>
          <w:p w14:paraId="611F57BA">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投标人遵循公平竞争的原则，不存在恶意串通，妨碍其他投标人的竞争行为，不存在损害采购人或者其他投标人的合法权益情形的；</w:t>
            </w:r>
          </w:p>
        </w:tc>
      </w:tr>
      <w:tr w14:paraId="1749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4DB7A563">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16</w:t>
            </w:r>
          </w:p>
        </w:tc>
        <w:tc>
          <w:tcPr>
            <w:tcW w:w="1092" w:type="pct"/>
            <w:noWrap w:val="0"/>
            <w:vAlign w:val="center"/>
          </w:tcPr>
          <w:p w14:paraId="2A7AC8CB">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串通投标</w:t>
            </w:r>
          </w:p>
        </w:tc>
        <w:tc>
          <w:tcPr>
            <w:tcW w:w="3598" w:type="pct"/>
            <w:noWrap w:val="0"/>
            <w:vAlign w:val="center"/>
          </w:tcPr>
          <w:p w14:paraId="4F408C2E">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存在《政府采购货物和服务招标投标管理办法》视为投标人串通投标的情形：（一）不同投标人的投标文件由同一单位或者个人编制；（二）不同投标人委托同一单位或者个人办理投标事宜（包含使用同一MAC地址的计算机提交或者解密电子</w:t>
            </w:r>
            <w:r>
              <w:rPr>
                <w:rFonts w:hint="eastAsia" w:ascii="宋体" w:hAnsi="宋体" w:eastAsia="宋体" w:cs="宋体"/>
                <w:color w:val="auto"/>
                <w:kern w:val="0"/>
                <w:sz w:val="15"/>
                <w:szCs w:val="15"/>
                <w:highlight w:val="none"/>
                <w:lang w:eastAsia="zh-CN"/>
              </w:rPr>
              <w:t>投标文件</w:t>
            </w:r>
            <w:r>
              <w:rPr>
                <w:rFonts w:hint="eastAsia" w:ascii="宋体" w:hAnsi="宋体" w:eastAsia="宋体" w:cs="宋体"/>
                <w:color w:val="auto"/>
                <w:kern w:val="0"/>
                <w:sz w:val="15"/>
                <w:szCs w:val="15"/>
                <w:highlight w:val="none"/>
              </w:rPr>
              <w:t>的情形）；（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66B3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shd w:val="clear" w:color="auto" w:fill="auto"/>
            <w:noWrap w:val="0"/>
            <w:vAlign w:val="center"/>
          </w:tcPr>
          <w:p w14:paraId="4D1857E6">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17</w:t>
            </w:r>
          </w:p>
        </w:tc>
        <w:tc>
          <w:tcPr>
            <w:tcW w:w="1092" w:type="pct"/>
            <w:noWrap w:val="0"/>
            <w:vAlign w:val="center"/>
          </w:tcPr>
          <w:p w14:paraId="08E9B45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附加条件</w:t>
            </w:r>
          </w:p>
        </w:tc>
        <w:tc>
          <w:tcPr>
            <w:tcW w:w="3598" w:type="pct"/>
            <w:noWrap w:val="0"/>
            <w:vAlign w:val="center"/>
          </w:tcPr>
          <w:p w14:paraId="1C96821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投标文件未含有采购人不能接受的附加条件的；</w:t>
            </w:r>
          </w:p>
        </w:tc>
      </w:tr>
      <w:tr w14:paraId="104A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8" w:type="pct"/>
            <w:noWrap w:val="0"/>
            <w:vAlign w:val="center"/>
          </w:tcPr>
          <w:p w14:paraId="262B4CC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18</w:t>
            </w:r>
          </w:p>
        </w:tc>
        <w:tc>
          <w:tcPr>
            <w:tcW w:w="1092" w:type="pct"/>
            <w:noWrap w:val="0"/>
            <w:vAlign w:val="center"/>
          </w:tcPr>
          <w:p w14:paraId="70AA00C0">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其他无效情形</w:t>
            </w:r>
          </w:p>
        </w:tc>
        <w:tc>
          <w:tcPr>
            <w:tcW w:w="3598" w:type="pct"/>
            <w:noWrap w:val="0"/>
            <w:vAlign w:val="center"/>
          </w:tcPr>
          <w:p w14:paraId="7C971B8C">
            <w:pPr>
              <w:keepNext w:val="0"/>
              <w:keepLines w:val="0"/>
              <w:pageBreakBefore w:val="0"/>
              <w:widowControl w:val="0"/>
              <w:suppressLineNumbers w:val="0"/>
              <w:shd w:val="clear"/>
              <w:kinsoku/>
              <w:wordWrap/>
              <w:overflowPunct/>
              <w:topLinePunct/>
              <w:autoSpaceDE/>
              <w:autoSpaceDN/>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投标人、投标文件不存在不符合法律、法规和招标文件规定的其他无效情形。</w:t>
            </w:r>
          </w:p>
        </w:tc>
      </w:tr>
    </w:tbl>
    <w:p w14:paraId="1707882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                     </w:t>
      </w:r>
    </w:p>
    <w:p w14:paraId="38264B52">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3B86361D">
      <w:pPr>
        <w:keepNext w:val="0"/>
        <w:keepLines w:val="0"/>
        <w:pageBreakBefore w:val="0"/>
        <w:widowControl w:val="0"/>
        <w:shd w:val="clear" w:color="auto" w:fill="auto"/>
        <w:kinsoku/>
        <w:wordWrap/>
        <w:overflowPunct/>
        <w:topLinePunct/>
        <w:autoSpaceDE/>
        <w:autoSpaceDN/>
        <w:bidi w:val="0"/>
        <w:adjustRightInd w:val="0"/>
        <w:snapToGrid w:val="0"/>
        <w:spacing w:line="360" w:lineRule="auto"/>
        <w:textAlignment w:val="auto"/>
        <w:outlineLvl w:val="9"/>
        <w:rPr>
          <w:rFonts w:hint="eastAsia" w:ascii="宋体" w:hAnsi="宋体" w:cs="宋体"/>
          <w:b/>
          <w:bCs/>
          <w:color w:val="auto"/>
          <w:sz w:val="24"/>
          <w:szCs w:val="20"/>
          <w:highlight w:val="none"/>
          <w:lang w:val="en-US" w:eastAsia="zh-CN"/>
        </w:rPr>
      </w:pPr>
      <w:r>
        <w:rPr>
          <w:rFonts w:hint="eastAsia" w:ascii="宋体" w:hAnsi="宋体" w:eastAsia="宋体" w:cs="宋体"/>
          <w:color w:val="auto"/>
          <w:sz w:val="21"/>
          <w:szCs w:val="21"/>
          <w:highlight w:val="none"/>
        </w:rPr>
        <w:t xml:space="preserve">日期：    年    月    日 </w:t>
      </w:r>
      <w:r>
        <w:rPr>
          <w:rFonts w:hint="eastAsia" w:ascii="宋体" w:hAnsi="宋体" w:cs="宋体"/>
          <w:b/>
          <w:bCs/>
          <w:color w:val="auto"/>
          <w:sz w:val="24"/>
          <w:szCs w:val="20"/>
          <w:highlight w:val="none"/>
          <w:lang w:val="en-US" w:eastAsia="zh-CN"/>
        </w:rPr>
        <w:br w:type="page"/>
      </w:r>
    </w:p>
    <w:p w14:paraId="47AA454F">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1"/>
        <w:rPr>
          <w:rFonts w:hint="eastAsia" w:ascii="宋体" w:hAnsi="宋体" w:eastAsia="宋体" w:cs="宋体"/>
          <w:b/>
          <w:bCs/>
          <w:color w:val="auto"/>
          <w:sz w:val="24"/>
          <w:szCs w:val="20"/>
          <w:highlight w:val="none"/>
        </w:rPr>
      </w:pPr>
      <w:r>
        <w:rPr>
          <w:rFonts w:hint="eastAsia" w:ascii="宋体" w:hAnsi="宋体" w:cs="宋体"/>
          <w:b/>
          <w:bCs/>
          <w:color w:val="auto"/>
          <w:sz w:val="24"/>
          <w:szCs w:val="20"/>
          <w:highlight w:val="none"/>
          <w:lang w:val="en-US" w:eastAsia="zh-CN"/>
        </w:rPr>
        <w:t>9</w:t>
      </w:r>
      <w:r>
        <w:rPr>
          <w:rFonts w:hint="eastAsia" w:ascii="宋体" w:hAnsi="宋体" w:eastAsia="宋体" w:cs="宋体"/>
          <w:b/>
          <w:bCs/>
          <w:color w:val="auto"/>
          <w:sz w:val="24"/>
          <w:szCs w:val="20"/>
          <w:highlight w:val="none"/>
          <w:lang w:val="en-US" w:eastAsia="zh-CN"/>
        </w:rPr>
        <w:t xml:space="preserve">  </w:t>
      </w:r>
      <w:r>
        <w:rPr>
          <w:rFonts w:hint="eastAsia" w:ascii="宋体" w:hAnsi="宋体" w:eastAsia="宋体" w:cs="宋体"/>
          <w:b/>
          <w:bCs/>
          <w:color w:val="auto"/>
          <w:sz w:val="24"/>
          <w:szCs w:val="20"/>
          <w:highlight w:val="none"/>
        </w:rPr>
        <w:t>项目实施方案等，包括但不限于如下主题</w:t>
      </w:r>
      <w:r>
        <w:rPr>
          <w:rFonts w:hint="eastAsia" w:ascii="宋体" w:hAnsi="宋体" w:eastAsia="宋体" w:cs="宋体"/>
          <w:b/>
          <w:bCs/>
          <w:color w:val="auto"/>
          <w:sz w:val="24"/>
          <w:szCs w:val="20"/>
          <w:highlight w:val="none"/>
          <w:lang w:eastAsia="zh-CN"/>
        </w:rPr>
        <w:t>（</w:t>
      </w:r>
      <w:r>
        <w:rPr>
          <w:rFonts w:hint="eastAsia" w:ascii="宋体" w:hAnsi="宋体" w:eastAsia="宋体" w:cs="宋体"/>
          <w:b/>
          <w:bCs/>
          <w:color w:val="auto"/>
          <w:sz w:val="24"/>
          <w:szCs w:val="20"/>
          <w:highlight w:val="none"/>
          <w:lang w:val="en-US" w:eastAsia="zh-CN"/>
        </w:rPr>
        <w:t>参考</w:t>
      </w:r>
      <w:r>
        <w:rPr>
          <w:rFonts w:hint="eastAsia" w:ascii="宋体" w:hAnsi="宋体" w:eastAsia="宋体" w:cs="宋体"/>
          <w:b/>
          <w:bCs/>
          <w:color w:val="auto"/>
          <w:sz w:val="24"/>
          <w:szCs w:val="20"/>
          <w:highlight w:val="none"/>
          <w:lang w:eastAsia="zh-CN"/>
        </w:rPr>
        <w:t>）</w:t>
      </w:r>
      <w:r>
        <w:rPr>
          <w:rFonts w:hint="eastAsia" w:ascii="宋体" w:hAnsi="宋体" w:eastAsia="宋体" w:cs="宋体"/>
          <w:b/>
          <w:bCs/>
          <w:color w:val="auto"/>
          <w:sz w:val="24"/>
          <w:szCs w:val="20"/>
          <w:highlight w:val="none"/>
        </w:rPr>
        <w:t>：</w:t>
      </w:r>
    </w:p>
    <w:p w14:paraId="6AA0328F">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rPr>
        <w:t>组织方案</w:t>
      </w:r>
    </w:p>
    <w:p w14:paraId="4FC3A735">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highlight w:val="none"/>
        </w:rPr>
        <w:t>食堂餐饮服务及管理实施方案</w:t>
      </w:r>
    </w:p>
    <w:p w14:paraId="691EA5C0">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highlight w:val="none"/>
        </w:rPr>
        <w:t>安全及卫生实施措施方案</w:t>
      </w:r>
    </w:p>
    <w:p w14:paraId="30F20AB8">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highlight w:val="none"/>
        </w:rPr>
        <w:t>进退场交接方案</w:t>
      </w:r>
    </w:p>
    <w:p w14:paraId="61EB743C">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highlight w:val="none"/>
        </w:rPr>
        <w:t>应急预案</w:t>
      </w:r>
    </w:p>
    <w:p w14:paraId="353BC35A">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highlight w:val="none"/>
        </w:rPr>
        <w:t>质量保证、服务承诺</w:t>
      </w:r>
    </w:p>
    <w:p w14:paraId="08E549C8">
      <w:pPr>
        <w:keepNext w:val="0"/>
        <w:keepLines w:val="0"/>
        <w:pageBreakBefore w:val="0"/>
        <w:widowControl w:val="0"/>
        <w:numPr>
          <w:ilvl w:val="0"/>
          <w:numId w:val="0"/>
        </w:numPr>
        <w:shd w:val="clear"/>
        <w:kinsoku/>
        <w:wordWrap/>
        <w:overflowPunct/>
        <w:topLinePunct/>
        <w:autoSpaceDE/>
        <w:autoSpaceDN/>
        <w:bidi w:val="0"/>
        <w:adjustRightInd w:val="0"/>
        <w:snapToGrid w:val="0"/>
        <w:spacing w:line="360" w:lineRule="auto"/>
        <w:ind w:firstLine="420" w:firstLineChars="200"/>
        <w:textAlignment w:val="auto"/>
        <w:outlineLvl w:val="9"/>
        <w:rPr>
          <w:rFonts w:hint="default" w:eastAsia="宋体"/>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其他</w:t>
      </w:r>
    </w:p>
    <w:p w14:paraId="3744F015">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49C620C5">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1"/>
        <w:rPr>
          <w:rFonts w:hint="eastAsia" w:ascii="宋体" w:hAnsi="宋体" w:eastAsia="宋体" w:cs="宋体"/>
          <w:b/>
          <w:bCs/>
          <w:color w:val="auto"/>
          <w:sz w:val="24"/>
          <w:szCs w:val="20"/>
          <w:highlight w:val="none"/>
          <w:lang w:eastAsia="zh-CN"/>
        </w:rPr>
      </w:pPr>
      <w:r>
        <w:rPr>
          <w:rFonts w:hint="eastAsia" w:ascii="宋体" w:hAnsi="宋体" w:cs="宋体"/>
          <w:b/>
          <w:bCs/>
          <w:color w:val="auto"/>
          <w:sz w:val="24"/>
          <w:szCs w:val="20"/>
          <w:highlight w:val="none"/>
          <w:lang w:val="en-US" w:eastAsia="zh-CN"/>
        </w:rPr>
        <w:t>10  类似</w:t>
      </w:r>
      <w:r>
        <w:rPr>
          <w:rFonts w:hint="eastAsia" w:ascii="宋体" w:hAnsi="宋体" w:cs="宋体"/>
          <w:b/>
          <w:bCs/>
          <w:color w:val="auto"/>
          <w:sz w:val="24"/>
          <w:szCs w:val="20"/>
          <w:highlight w:val="none"/>
        </w:rPr>
        <w:t>业绩案例一览表</w:t>
      </w:r>
      <w:r>
        <w:rPr>
          <w:rFonts w:hint="eastAsia" w:ascii="宋体" w:hAnsi="宋体" w:cs="宋体"/>
          <w:b/>
          <w:bCs/>
          <w:color w:val="auto"/>
          <w:sz w:val="24"/>
          <w:szCs w:val="20"/>
          <w:highlight w:val="none"/>
          <w:lang w:eastAsia="zh-CN"/>
        </w:rPr>
        <w:t>（</w:t>
      </w:r>
      <w:r>
        <w:rPr>
          <w:rFonts w:hint="eastAsia" w:ascii="宋体" w:hAnsi="宋体" w:cs="宋体"/>
          <w:b/>
          <w:bCs/>
          <w:color w:val="auto"/>
          <w:sz w:val="24"/>
          <w:szCs w:val="20"/>
          <w:highlight w:val="none"/>
          <w:lang w:val="en-US" w:eastAsia="zh-CN"/>
        </w:rPr>
        <w:t>非实质性格式</w:t>
      </w:r>
      <w:r>
        <w:rPr>
          <w:rFonts w:hint="eastAsia" w:ascii="宋体" w:hAnsi="宋体" w:cs="宋体"/>
          <w:b/>
          <w:bCs/>
          <w:color w:val="auto"/>
          <w:sz w:val="24"/>
          <w:szCs w:val="20"/>
          <w:highlight w:val="none"/>
          <w:lang w:eastAsia="zh-CN"/>
        </w:rPr>
        <w:t>）</w:t>
      </w:r>
    </w:p>
    <w:p w14:paraId="2D00DF96">
      <w:pPr>
        <w:keepNext w:val="0"/>
        <w:keepLines w:val="0"/>
        <w:pageBreakBefore w:val="0"/>
        <w:widowControl w:val="0"/>
        <w:shd w:val="clear"/>
        <w:kinsoku/>
        <w:wordWrap/>
        <w:overflowPunct/>
        <w:topLinePunct/>
        <w:autoSpaceDE/>
        <w:autoSpaceDN/>
        <w:bidi w:val="0"/>
        <w:adjustRightInd w:val="0"/>
        <w:snapToGrid w:val="0"/>
        <w:spacing w:line="360" w:lineRule="auto"/>
        <w:jc w:val="center"/>
        <w:textAlignment w:val="auto"/>
        <w:outlineLvl w:val="9"/>
        <w:rPr>
          <w:rFonts w:hint="eastAsia" w:ascii="宋体" w:hAnsi="宋体" w:cs="宋体"/>
          <w:b/>
          <w:color w:val="auto"/>
          <w:sz w:val="28"/>
          <w:szCs w:val="28"/>
          <w:highlight w:val="none"/>
        </w:rPr>
      </w:pPr>
      <w:r>
        <w:rPr>
          <w:rFonts w:hint="eastAsia" w:ascii="宋体" w:hAnsi="宋体" w:cs="宋体"/>
          <w:b/>
          <w:color w:val="auto"/>
          <w:sz w:val="28"/>
          <w:szCs w:val="28"/>
          <w:highlight w:val="none"/>
          <w:lang w:val="en-US" w:eastAsia="zh-CN"/>
        </w:rPr>
        <w:t>类似</w:t>
      </w:r>
      <w:r>
        <w:rPr>
          <w:rFonts w:hint="eastAsia" w:ascii="宋体" w:hAnsi="宋体" w:cs="宋体"/>
          <w:b/>
          <w:color w:val="auto"/>
          <w:sz w:val="28"/>
          <w:szCs w:val="28"/>
          <w:highlight w:val="none"/>
        </w:rPr>
        <w:t>业绩案例一览表</w:t>
      </w:r>
    </w:p>
    <w:tbl>
      <w:tblPr>
        <w:tblStyle w:val="18"/>
        <w:tblW w:w="9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2733"/>
        <w:gridCol w:w="2000"/>
        <w:gridCol w:w="1735"/>
        <w:gridCol w:w="1309"/>
      </w:tblGrid>
      <w:tr w14:paraId="64C9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5" w:type="dxa"/>
            <w:noWrap w:val="0"/>
            <w:vAlign w:val="center"/>
          </w:tcPr>
          <w:p w14:paraId="6A5F0056">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项目编号</w:t>
            </w:r>
          </w:p>
        </w:tc>
        <w:tc>
          <w:tcPr>
            <w:tcW w:w="7777" w:type="dxa"/>
            <w:gridSpan w:val="4"/>
            <w:noWrap w:val="0"/>
            <w:vAlign w:val="center"/>
          </w:tcPr>
          <w:p w14:paraId="55EC0717">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zh-CN" w:eastAsia="zh-CN"/>
              </w:rPr>
            </w:pPr>
            <w:r>
              <w:rPr>
                <w:rFonts w:hint="eastAsia" w:ascii="宋体" w:hAnsi="宋体" w:cs="宋体"/>
                <w:color w:val="auto"/>
                <w:sz w:val="18"/>
                <w:szCs w:val="18"/>
                <w:highlight w:val="none"/>
                <w:lang w:val="en-US" w:eastAsia="zh-CN"/>
              </w:rPr>
              <w:t>JSZC-320404-QFZB-G2026-0012</w:t>
            </w:r>
          </w:p>
        </w:tc>
      </w:tr>
      <w:tr w14:paraId="52CF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5" w:type="dxa"/>
            <w:noWrap w:val="0"/>
            <w:vAlign w:val="center"/>
          </w:tcPr>
          <w:p w14:paraId="7581216B">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项目名称</w:t>
            </w:r>
          </w:p>
        </w:tc>
        <w:tc>
          <w:tcPr>
            <w:tcW w:w="7777" w:type="dxa"/>
            <w:gridSpan w:val="4"/>
            <w:noWrap w:val="0"/>
            <w:vAlign w:val="center"/>
          </w:tcPr>
          <w:p w14:paraId="5D7B7448">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zh-CN" w:eastAsia="zh-CN"/>
              </w:rPr>
            </w:pPr>
            <w:r>
              <w:rPr>
                <w:rFonts w:hint="eastAsia" w:ascii="宋体" w:hAnsi="宋体" w:cs="宋体"/>
                <w:color w:val="auto"/>
                <w:sz w:val="18"/>
                <w:szCs w:val="18"/>
                <w:highlight w:val="none"/>
                <w:lang w:val="en-US" w:eastAsia="zh-CN"/>
              </w:rPr>
              <w:t>常州市钟楼区行政中心机关食堂餐饮服务及管理项目</w:t>
            </w:r>
          </w:p>
        </w:tc>
      </w:tr>
      <w:tr w14:paraId="37B2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5" w:type="dxa"/>
            <w:noWrap w:val="0"/>
            <w:vAlign w:val="center"/>
          </w:tcPr>
          <w:p w14:paraId="0CDB188A">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zh-CN"/>
              </w:rPr>
              <w:t>项目</w:t>
            </w:r>
            <w:r>
              <w:rPr>
                <w:rFonts w:hint="eastAsia" w:ascii="宋体" w:hAnsi="宋体" w:eastAsia="宋体" w:cs="宋体"/>
                <w:color w:val="auto"/>
                <w:sz w:val="18"/>
                <w:szCs w:val="18"/>
                <w:highlight w:val="none"/>
                <w:lang w:val="en-US" w:eastAsia="zh-CN"/>
              </w:rPr>
              <w:t>合同</w:t>
            </w:r>
          </w:p>
          <w:p w14:paraId="302AAE65">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zh-CN"/>
              </w:rPr>
            </w:pPr>
            <w:r>
              <w:rPr>
                <w:rFonts w:hint="eastAsia" w:ascii="宋体" w:hAnsi="宋体" w:eastAsia="宋体" w:cs="宋体"/>
                <w:color w:val="auto"/>
                <w:sz w:val="18"/>
                <w:szCs w:val="18"/>
                <w:highlight w:val="none"/>
                <w:lang w:val="en-US" w:eastAsia="zh-CN"/>
              </w:rPr>
              <w:t>签订</w:t>
            </w:r>
            <w:r>
              <w:rPr>
                <w:rFonts w:hint="eastAsia" w:ascii="宋体" w:hAnsi="宋体" w:eastAsia="宋体" w:cs="宋体"/>
                <w:color w:val="auto"/>
                <w:sz w:val="18"/>
                <w:szCs w:val="18"/>
                <w:highlight w:val="none"/>
                <w:lang w:val="zh-CN"/>
              </w:rPr>
              <w:t>时间</w:t>
            </w:r>
          </w:p>
        </w:tc>
        <w:tc>
          <w:tcPr>
            <w:tcW w:w="2733" w:type="dxa"/>
            <w:noWrap w:val="0"/>
            <w:vAlign w:val="center"/>
          </w:tcPr>
          <w:p w14:paraId="7C96080B">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zh-CN"/>
              </w:rPr>
            </w:pPr>
            <w:r>
              <w:rPr>
                <w:rFonts w:hint="eastAsia" w:ascii="宋体" w:hAnsi="宋体" w:eastAsia="宋体" w:cs="宋体"/>
                <w:color w:val="auto"/>
                <w:sz w:val="18"/>
                <w:szCs w:val="18"/>
                <w:highlight w:val="none"/>
                <w:lang w:val="zh-CN"/>
              </w:rPr>
              <w:t>项目名称</w:t>
            </w:r>
          </w:p>
        </w:tc>
        <w:tc>
          <w:tcPr>
            <w:tcW w:w="2000" w:type="dxa"/>
            <w:noWrap w:val="0"/>
            <w:vAlign w:val="center"/>
          </w:tcPr>
          <w:p w14:paraId="1A9E4764">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zh-CN"/>
              </w:rPr>
            </w:pPr>
            <w:r>
              <w:rPr>
                <w:rFonts w:hint="eastAsia" w:ascii="宋体" w:hAnsi="宋体" w:eastAsia="宋体" w:cs="宋体"/>
                <w:color w:val="auto"/>
                <w:sz w:val="18"/>
                <w:szCs w:val="18"/>
                <w:highlight w:val="none"/>
                <w:lang w:val="zh-CN"/>
              </w:rPr>
              <w:t>项目</w:t>
            </w:r>
            <w:r>
              <w:rPr>
                <w:rFonts w:hint="eastAsia" w:ascii="宋体" w:hAnsi="宋体" w:eastAsia="宋体" w:cs="宋体"/>
                <w:color w:val="auto"/>
                <w:sz w:val="18"/>
                <w:szCs w:val="18"/>
                <w:highlight w:val="none"/>
                <w:lang w:val="en-US" w:eastAsia="zh-CN"/>
              </w:rPr>
              <w:t>委托</w:t>
            </w:r>
            <w:r>
              <w:rPr>
                <w:rFonts w:hint="eastAsia" w:ascii="宋体" w:hAnsi="宋体" w:eastAsia="宋体" w:cs="宋体"/>
                <w:color w:val="auto"/>
                <w:sz w:val="18"/>
                <w:szCs w:val="18"/>
                <w:highlight w:val="none"/>
                <w:lang w:val="zh-CN"/>
              </w:rPr>
              <w:t>单位</w:t>
            </w:r>
          </w:p>
        </w:tc>
        <w:tc>
          <w:tcPr>
            <w:tcW w:w="1735" w:type="dxa"/>
            <w:noWrap w:val="0"/>
            <w:vAlign w:val="center"/>
          </w:tcPr>
          <w:p w14:paraId="10F6FEE2">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zh-CN"/>
              </w:rPr>
            </w:pPr>
            <w:r>
              <w:rPr>
                <w:rFonts w:hint="eastAsia" w:ascii="宋体" w:hAnsi="宋体" w:eastAsia="宋体" w:cs="宋体"/>
                <w:color w:val="auto"/>
                <w:sz w:val="18"/>
                <w:szCs w:val="18"/>
                <w:highlight w:val="none"/>
                <w:lang w:val="zh-CN"/>
              </w:rPr>
              <w:t>单位地址</w:t>
            </w:r>
          </w:p>
        </w:tc>
        <w:tc>
          <w:tcPr>
            <w:tcW w:w="1309" w:type="dxa"/>
            <w:noWrap w:val="0"/>
            <w:vAlign w:val="center"/>
          </w:tcPr>
          <w:p w14:paraId="0B79ADE1">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lang w:val="zh-CN"/>
              </w:rPr>
            </w:pPr>
            <w:r>
              <w:rPr>
                <w:rFonts w:hint="eastAsia" w:ascii="宋体" w:hAnsi="宋体" w:eastAsia="宋体" w:cs="宋体"/>
                <w:color w:val="auto"/>
                <w:sz w:val="18"/>
                <w:szCs w:val="18"/>
                <w:highlight w:val="none"/>
                <w:lang w:val="zh-CN"/>
              </w:rPr>
              <w:t>联系电话</w:t>
            </w:r>
          </w:p>
        </w:tc>
      </w:tr>
      <w:tr w14:paraId="4117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5" w:type="dxa"/>
            <w:noWrap w:val="0"/>
            <w:vAlign w:val="center"/>
          </w:tcPr>
          <w:p w14:paraId="525CD8F8">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2733" w:type="dxa"/>
            <w:noWrap w:val="0"/>
            <w:vAlign w:val="center"/>
          </w:tcPr>
          <w:p w14:paraId="2D56FDE3">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2000" w:type="dxa"/>
            <w:noWrap w:val="0"/>
            <w:vAlign w:val="center"/>
          </w:tcPr>
          <w:p w14:paraId="727B6615">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1735" w:type="dxa"/>
            <w:noWrap w:val="0"/>
            <w:vAlign w:val="center"/>
          </w:tcPr>
          <w:p w14:paraId="67F3787E">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1309" w:type="dxa"/>
            <w:noWrap w:val="0"/>
            <w:vAlign w:val="center"/>
          </w:tcPr>
          <w:p w14:paraId="3F1FA24C">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r>
      <w:tr w14:paraId="7083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5" w:type="dxa"/>
            <w:noWrap w:val="0"/>
            <w:vAlign w:val="center"/>
          </w:tcPr>
          <w:p w14:paraId="7DD31B8A">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2733" w:type="dxa"/>
            <w:noWrap w:val="0"/>
            <w:vAlign w:val="center"/>
          </w:tcPr>
          <w:p w14:paraId="7AA00B6B">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2000" w:type="dxa"/>
            <w:noWrap w:val="0"/>
            <w:vAlign w:val="center"/>
          </w:tcPr>
          <w:p w14:paraId="2706FC5D">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1735" w:type="dxa"/>
            <w:noWrap w:val="0"/>
            <w:vAlign w:val="center"/>
          </w:tcPr>
          <w:p w14:paraId="48C1CED8">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1309" w:type="dxa"/>
            <w:noWrap w:val="0"/>
            <w:vAlign w:val="center"/>
          </w:tcPr>
          <w:p w14:paraId="27CAC85D">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r>
      <w:tr w14:paraId="43B6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5" w:type="dxa"/>
            <w:noWrap w:val="0"/>
            <w:vAlign w:val="center"/>
          </w:tcPr>
          <w:p w14:paraId="2F11E223">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2733" w:type="dxa"/>
            <w:noWrap w:val="0"/>
            <w:vAlign w:val="center"/>
          </w:tcPr>
          <w:p w14:paraId="51CF7C12">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2000" w:type="dxa"/>
            <w:noWrap w:val="0"/>
            <w:vAlign w:val="center"/>
          </w:tcPr>
          <w:p w14:paraId="7457F177">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1735" w:type="dxa"/>
            <w:noWrap w:val="0"/>
            <w:vAlign w:val="center"/>
          </w:tcPr>
          <w:p w14:paraId="4A30BDA3">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1309" w:type="dxa"/>
            <w:noWrap w:val="0"/>
            <w:vAlign w:val="center"/>
          </w:tcPr>
          <w:p w14:paraId="1D3C0AA6">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r>
      <w:tr w14:paraId="0CA8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5" w:type="dxa"/>
            <w:noWrap w:val="0"/>
            <w:vAlign w:val="center"/>
          </w:tcPr>
          <w:p w14:paraId="6EF3AD75">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2733" w:type="dxa"/>
            <w:noWrap w:val="0"/>
            <w:vAlign w:val="center"/>
          </w:tcPr>
          <w:p w14:paraId="359F3DD6">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2000" w:type="dxa"/>
            <w:noWrap w:val="0"/>
            <w:vAlign w:val="center"/>
          </w:tcPr>
          <w:p w14:paraId="21893F48">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1735" w:type="dxa"/>
            <w:noWrap w:val="0"/>
            <w:vAlign w:val="center"/>
          </w:tcPr>
          <w:p w14:paraId="5886CBE1">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c>
          <w:tcPr>
            <w:tcW w:w="1309" w:type="dxa"/>
            <w:noWrap w:val="0"/>
            <w:vAlign w:val="center"/>
          </w:tcPr>
          <w:p w14:paraId="7F6A7F97">
            <w:pPr>
              <w:keepNext w:val="0"/>
              <w:keepLines w:val="0"/>
              <w:pageBreakBefore w:val="0"/>
              <w:widowControl w:val="0"/>
              <w:suppressLineNumbers w:val="0"/>
              <w:shd w:val="clear"/>
              <w:tabs>
                <w:tab w:val="left" w:pos="9765"/>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color w:val="auto"/>
                <w:sz w:val="18"/>
                <w:szCs w:val="18"/>
                <w:highlight w:val="none"/>
              </w:rPr>
            </w:pPr>
          </w:p>
        </w:tc>
      </w:tr>
    </w:tbl>
    <w:p w14:paraId="352D5F25">
      <w:pPr>
        <w:keepNext w:val="0"/>
        <w:keepLines w:val="0"/>
        <w:pageBreakBefore w:val="0"/>
        <w:widowControl w:val="0"/>
        <w:shd w:val="clear"/>
        <w:tabs>
          <w:tab w:val="left" w:pos="9765"/>
        </w:tabs>
        <w:kinsoku/>
        <w:wordWrap/>
        <w:overflowPunct/>
        <w:topLinePunct/>
        <w:autoSpaceDE/>
        <w:autoSpaceDN/>
        <w:bidi w:val="0"/>
        <w:adjustRightInd w:val="0"/>
        <w:snapToGrid w:val="0"/>
        <w:spacing w:line="360" w:lineRule="auto"/>
        <w:textAlignment w:val="auto"/>
        <w:outlineLvl w:val="9"/>
        <w:rPr>
          <w:rFonts w:hint="eastAsia" w:ascii="宋体" w:hAnsi="宋体" w:cs="宋体"/>
          <w:color w:val="auto"/>
          <w:szCs w:val="21"/>
          <w:highlight w:val="none"/>
          <w:lang w:val="zh-CN"/>
        </w:rPr>
      </w:pPr>
    </w:p>
    <w:p w14:paraId="24C20B42">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cs="宋体"/>
          <w:color w:val="auto"/>
          <w:szCs w:val="21"/>
          <w:highlight w:val="none"/>
        </w:rPr>
      </w:pPr>
    </w:p>
    <w:p w14:paraId="4AD5205E">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                     </w:t>
      </w:r>
    </w:p>
    <w:p w14:paraId="384C2A97">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加盖</w:t>
      </w:r>
      <w:r>
        <w:rPr>
          <w:rFonts w:hint="eastAsia" w:ascii="宋体" w:hAnsi="宋体" w:eastAsia="宋体" w:cs="宋体"/>
          <w:color w:val="auto"/>
          <w:sz w:val="21"/>
          <w:szCs w:val="21"/>
          <w:highlight w:val="none"/>
        </w:rPr>
        <w:t>公章）</w:t>
      </w:r>
    </w:p>
    <w:p w14:paraId="611480D3">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cs="宋体"/>
          <w:color w:val="auto"/>
          <w:szCs w:val="21"/>
          <w:highlight w:val="none"/>
          <w:lang w:val="zh-CN"/>
        </w:rPr>
      </w:pPr>
      <w:r>
        <w:rPr>
          <w:rFonts w:hint="eastAsia" w:ascii="宋体" w:hAnsi="宋体" w:eastAsia="宋体" w:cs="宋体"/>
          <w:color w:val="auto"/>
          <w:sz w:val="21"/>
          <w:szCs w:val="21"/>
          <w:highlight w:val="none"/>
        </w:rPr>
        <w:t xml:space="preserve">日期：    年    月    日 </w:t>
      </w:r>
      <w:r>
        <w:rPr>
          <w:rFonts w:hint="eastAsia" w:ascii="宋体" w:hAnsi="宋体" w:cs="宋体"/>
          <w:color w:val="auto"/>
          <w:szCs w:val="21"/>
          <w:highlight w:val="none"/>
        </w:rPr>
        <w:t xml:space="preserve">  </w:t>
      </w:r>
    </w:p>
    <w:p w14:paraId="3EDDD173">
      <w:pPr>
        <w:keepNext w:val="0"/>
        <w:keepLines w:val="0"/>
        <w:pageBreakBefore w:val="0"/>
        <w:widowControl w:val="0"/>
        <w:shd w:val="clear"/>
        <w:kinsoku/>
        <w:wordWrap/>
        <w:overflowPunct/>
        <w:topLinePunct/>
        <w:autoSpaceDE/>
        <w:autoSpaceDN/>
        <w:bidi w:val="0"/>
        <w:adjustRightInd w:val="0"/>
        <w:snapToGrid w:val="0"/>
        <w:spacing w:line="360" w:lineRule="auto"/>
        <w:textAlignment w:val="auto"/>
        <w:outlineLvl w:val="9"/>
        <w:rPr>
          <w:rFonts w:hint="eastAsia" w:ascii="宋体" w:hAnsi="宋体" w:cs="宋体"/>
          <w:color w:val="auto"/>
          <w:sz w:val="24"/>
          <w:szCs w:val="20"/>
          <w:highlight w:val="none"/>
        </w:rPr>
      </w:pPr>
    </w:p>
    <w:p w14:paraId="12F0067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cs="宋体"/>
          <w:b/>
          <w:bCs/>
          <w:color w:val="auto"/>
          <w:sz w:val="24"/>
          <w:szCs w:val="20"/>
          <w:highlight w:val="none"/>
          <w:lang w:val="en-US" w:eastAsia="zh-CN"/>
        </w:rPr>
      </w:pPr>
      <w:r>
        <w:rPr>
          <w:rFonts w:hint="eastAsia" w:ascii="宋体" w:hAnsi="宋体" w:cs="宋体"/>
          <w:b/>
          <w:bCs/>
          <w:color w:val="auto"/>
          <w:sz w:val="24"/>
          <w:szCs w:val="20"/>
          <w:highlight w:val="none"/>
          <w:lang w:val="en-US" w:eastAsia="zh-CN"/>
        </w:rPr>
        <w:br w:type="page"/>
      </w:r>
    </w:p>
    <w:p w14:paraId="6B4A9BFB">
      <w:pPr>
        <w:keepNext w:val="0"/>
        <w:keepLines w:val="0"/>
        <w:pageBreakBefore w:val="0"/>
        <w:widowControl w:val="0"/>
        <w:kinsoku/>
        <w:wordWrap/>
        <w:overflowPunct/>
        <w:topLinePunct/>
        <w:autoSpaceDE/>
        <w:autoSpaceDN/>
        <w:bidi w:val="0"/>
        <w:adjustRightInd w:val="0"/>
        <w:snapToGrid w:val="0"/>
        <w:spacing w:beforeLines="0" w:afterLines="0" w:line="360" w:lineRule="auto"/>
        <w:ind w:left="482" w:hanging="482" w:hangingChars="200"/>
        <w:jc w:val="left"/>
        <w:textAlignment w:val="auto"/>
        <w:outlineLvl w:val="1"/>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11</w:t>
      </w:r>
      <w:r>
        <w:rPr>
          <w:rFonts w:hint="eastAsia" w:ascii="宋体" w:hAnsi="宋体" w:eastAsia="宋体" w:cs="宋体"/>
          <w:b/>
          <w:color w:val="auto"/>
          <w:sz w:val="24"/>
          <w:szCs w:val="24"/>
          <w:highlight w:val="none"/>
          <w:lang w:val="en-US" w:eastAsia="zh-CN"/>
        </w:rPr>
        <w:t xml:space="preserve">  企业报价折扣证明（小微企业、监狱和戒毒企业、残疾人福利单位声明函）</w:t>
      </w:r>
    </w:p>
    <w:p w14:paraId="2253F7E3">
      <w:pPr>
        <w:keepNext w:val="0"/>
        <w:keepLines w:val="0"/>
        <w:pageBreakBefore w:val="0"/>
        <w:widowControl w:val="0"/>
        <w:kinsoku/>
        <w:wordWrap/>
        <w:overflowPunct/>
        <w:topLinePunct/>
        <w:autoSpaceDE/>
        <w:autoSpaceDN/>
        <w:bidi w:val="0"/>
        <w:adjustRightInd w:val="0"/>
        <w:snapToGrid w:val="0"/>
        <w:spacing w:beforeLines="0" w:afterLines="0" w:line="360" w:lineRule="auto"/>
        <w:textAlignment w:val="auto"/>
        <w:outlineLvl w:val="9"/>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提示：同《中小企业声明函》或者《残疾人福利性单位声明函》或者监狱企业证明，在此提供符合供应商自身属性的《中小企业声明函》或者《残疾人福利性单位声明函》或者监狱企业证明文件。</w:t>
      </w:r>
    </w:p>
    <w:p w14:paraId="5979A1E4">
      <w:pPr>
        <w:keepNext w:val="0"/>
        <w:keepLines w:val="0"/>
        <w:pageBreakBefore w:val="0"/>
        <w:widowControl w:val="0"/>
        <w:kinsoku/>
        <w:wordWrap/>
        <w:overflowPunct/>
        <w:topLinePunct/>
        <w:autoSpaceDE/>
        <w:autoSpaceDN/>
        <w:bidi w:val="0"/>
        <w:adjustRightInd w:val="0"/>
        <w:snapToGrid w:val="0"/>
        <w:spacing w:beforeLines="0" w:afterLines="0" w:line="360" w:lineRule="auto"/>
        <w:ind w:left="482" w:hanging="480" w:hangingChars="200"/>
        <w:textAlignment w:val="auto"/>
        <w:outlineLvl w:val="9"/>
        <w:rPr>
          <w:rFonts w:hint="eastAsia" w:ascii="宋体" w:hAnsi="宋体" w:eastAsia="宋体" w:cs="宋体"/>
          <w:b w:val="0"/>
          <w:bCs/>
          <w:color w:val="auto"/>
          <w:sz w:val="24"/>
          <w:szCs w:val="24"/>
          <w:highlight w:val="none"/>
          <w:lang w:val="en-US" w:eastAsia="zh-CN"/>
        </w:rPr>
      </w:pPr>
    </w:p>
    <w:p w14:paraId="4329E614">
      <w:pPr>
        <w:keepNext w:val="0"/>
        <w:keepLines w:val="0"/>
        <w:pageBreakBefore w:val="0"/>
        <w:widowControl w:val="0"/>
        <w:kinsoku/>
        <w:wordWrap/>
        <w:overflowPunct/>
        <w:topLinePunct/>
        <w:autoSpaceDE/>
        <w:autoSpaceDN/>
        <w:bidi w:val="0"/>
        <w:adjustRightInd w:val="0"/>
        <w:snapToGrid w:val="0"/>
        <w:spacing w:beforeLines="0" w:afterLines="0" w:line="360" w:lineRule="auto"/>
        <w:ind w:left="482" w:hanging="480" w:hangingChars="200"/>
        <w:outlineLvl w:val="9"/>
        <w:rPr>
          <w:rFonts w:hint="eastAsia" w:ascii="宋体" w:hAnsi="宋体" w:eastAsia="宋体" w:cs="宋体"/>
          <w:b w:val="0"/>
          <w:bCs/>
          <w:color w:val="auto"/>
          <w:sz w:val="24"/>
          <w:szCs w:val="20"/>
          <w:highlight w:val="none"/>
          <w:lang w:val="en-US" w:eastAsia="zh-CN"/>
        </w:rPr>
      </w:pPr>
    </w:p>
    <w:p w14:paraId="755529E4">
      <w:pPr>
        <w:keepNext w:val="0"/>
        <w:keepLines w:val="0"/>
        <w:pageBreakBefore w:val="0"/>
        <w:widowControl w:val="0"/>
        <w:kinsoku/>
        <w:wordWrap/>
        <w:overflowPunct/>
        <w:topLinePunct/>
        <w:autoSpaceDE/>
        <w:autoSpaceDN/>
        <w:bidi w:val="0"/>
        <w:adjustRightInd w:val="0"/>
        <w:snapToGrid w:val="0"/>
        <w:rPr>
          <w:rFonts w:hint="eastAsia" w:ascii="宋体" w:hAnsi="宋体" w:cs="宋体"/>
          <w:b/>
          <w:bCs/>
          <w:color w:val="auto"/>
          <w:sz w:val="24"/>
          <w:szCs w:val="20"/>
          <w:highlight w:val="none"/>
          <w:lang w:val="en-US" w:eastAsia="zh-CN"/>
        </w:rPr>
      </w:pPr>
      <w:r>
        <w:rPr>
          <w:rFonts w:hint="eastAsia" w:ascii="宋体" w:hAnsi="宋体" w:cs="宋体"/>
          <w:b/>
          <w:bCs/>
          <w:color w:val="auto"/>
          <w:sz w:val="24"/>
          <w:szCs w:val="20"/>
          <w:highlight w:val="none"/>
          <w:lang w:val="en-US" w:eastAsia="zh-CN"/>
        </w:rPr>
        <w:br w:type="page"/>
      </w:r>
    </w:p>
    <w:p w14:paraId="3D427140">
      <w:pPr>
        <w:keepNext w:val="0"/>
        <w:keepLines w:val="0"/>
        <w:pageBreakBefore w:val="0"/>
        <w:widowControl w:val="0"/>
        <w:shd w:val="clear"/>
        <w:kinsoku/>
        <w:wordWrap/>
        <w:overflowPunct/>
        <w:topLinePunct/>
        <w:autoSpaceDE/>
        <w:autoSpaceDN/>
        <w:bidi w:val="0"/>
        <w:adjustRightInd w:val="0"/>
        <w:snapToGrid w:val="0"/>
        <w:spacing w:line="360" w:lineRule="auto"/>
        <w:outlineLvl w:val="1"/>
        <w:rPr>
          <w:rFonts w:hint="eastAsia" w:ascii="宋体" w:hAnsi="宋体" w:eastAsia="宋体" w:cs="宋体"/>
          <w:b/>
          <w:bCs/>
          <w:color w:val="auto"/>
          <w:sz w:val="24"/>
          <w:szCs w:val="20"/>
          <w:highlight w:val="none"/>
          <w:lang w:val="en-US" w:eastAsia="zh-CN"/>
        </w:rPr>
      </w:pPr>
      <w:r>
        <w:rPr>
          <w:rFonts w:hint="eastAsia" w:ascii="宋体" w:hAnsi="宋体" w:cs="宋体"/>
          <w:b/>
          <w:bCs/>
          <w:color w:val="auto"/>
          <w:sz w:val="24"/>
          <w:szCs w:val="20"/>
          <w:highlight w:val="none"/>
          <w:lang w:val="en-US" w:eastAsia="zh-CN"/>
        </w:rPr>
        <w:t xml:space="preserve">12  </w:t>
      </w:r>
      <w:r>
        <w:rPr>
          <w:rFonts w:hint="eastAsia" w:ascii="宋体" w:hAnsi="宋体" w:eastAsia="宋体" w:cs="宋体"/>
          <w:b/>
          <w:bCs/>
          <w:color w:val="auto"/>
          <w:sz w:val="24"/>
          <w:szCs w:val="20"/>
          <w:highlight w:val="none"/>
          <w:lang w:val="en-US" w:eastAsia="zh-CN"/>
        </w:rPr>
        <w:t>招标文件要求提供或投标人认为应附的其他材料</w:t>
      </w:r>
    </w:p>
    <w:p w14:paraId="733D6A71">
      <w:pPr>
        <w:keepNext w:val="0"/>
        <w:keepLines w:val="0"/>
        <w:pageBreakBefore w:val="0"/>
        <w:widowControl w:val="0"/>
        <w:kinsoku/>
        <w:wordWrap/>
        <w:overflowPunct/>
        <w:topLinePunct/>
        <w:autoSpaceDE/>
        <w:autoSpaceDN/>
        <w:bidi w:val="0"/>
        <w:adjustRightInd w:val="0"/>
        <w:snapToGrid w:val="0"/>
        <w:rPr>
          <w:rFonts w:hint="eastAsia"/>
          <w:color w:val="auto"/>
          <w:highlight w:val="none"/>
          <w:lang w:val="en-US" w:eastAsia="zh-CN"/>
        </w:rPr>
      </w:pPr>
      <w:r>
        <w:rPr>
          <w:rFonts w:hint="eastAsia" w:ascii="宋体" w:hAnsi="宋体" w:eastAsia="宋体" w:cs="宋体"/>
          <w:b/>
          <w:bCs/>
          <w:color w:val="auto"/>
          <w:sz w:val="24"/>
          <w:szCs w:val="20"/>
          <w:highlight w:val="none"/>
          <w:lang w:val="en-US" w:eastAsia="zh-CN"/>
        </w:rPr>
        <w:br w:type="page"/>
      </w:r>
    </w:p>
    <w:p w14:paraId="32563994">
      <w:pPr>
        <w:keepNext w:val="0"/>
        <w:keepLines w:val="0"/>
        <w:pageBreakBefore w:val="0"/>
        <w:widowControl w:val="0"/>
        <w:kinsoku/>
        <w:wordWrap/>
        <w:overflowPunct/>
        <w:topLinePunct/>
        <w:autoSpaceDE/>
        <w:autoSpaceDN/>
        <w:bidi w:val="0"/>
        <w:adjustRightInd w:val="0"/>
        <w:snapToGrid w:val="0"/>
        <w:spacing w:line="360" w:lineRule="auto"/>
        <w:textAlignment w:val="auto"/>
        <w:outlineLvl w:val="1"/>
        <w:rPr>
          <w:rFonts w:hint="eastAsia" w:ascii="宋体" w:hAnsi="宋体" w:eastAsia="宋体" w:cs="宋体"/>
          <w:b/>
          <w:color w:val="auto"/>
          <w:sz w:val="24"/>
          <w:szCs w:val="20"/>
          <w:highlight w:val="none"/>
          <w:lang w:val="en-US" w:eastAsia="zh-CN"/>
        </w:rPr>
      </w:pPr>
      <w:r>
        <w:rPr>
          <w:rFonts w:hint="eastAsia" w:ascii="宋体" w:hAnsi="宋体" w:cs="宋体"/>
          <w:b/>
          <w:color w:val="auto"/>
          <w:sz w:val="24"/>
          <w:szCs w:val="20"/>
          <w:highlight w:val="none"/>
          <w:lang w:val="en-US" w:eastAsia="zh-CN"/>
        </w:rPr>
        <w:t>13</w:t>
      </w:r>
      <w:r>
        <w:rPr>
          <w:rFonts w:hint="eastAsia" w:ascii="宋体" w:hAnsi="宋体" w:eastAsia="宋体" w:cs="宋体"/>
          <w:b/>
          <w:color w:val="auto"/>
          <w:sz w:val="24"/>
          <w:szCs w:val="20"/>
          <w:highlight w:val="none"/>
          <w:lang w:val="en-US" w:eastAsia="zh-CN"/>
        </w:rPr>
        <w:t xml:space="preserve">  </w:t>
      </w:r>
      <w:r>
        <w:rPr>
          <w:rFonts w:hint="eastAsia" w:ascii="宋体" w:hAnsi="宋体" w:cs="宋体"/>
          <w:b/>
          <w:color w:val="auto"/>
          <w:sz w:val="24"/>
          <w:szCs w:val="24"/>
          <w:highlight w:val="none"/>
          <w:lang w:val="en-US" w:eastAsia="zh-CN"/>
        </w:rPr>
        <w:t>温馨</w:t>
      </w:r>
      <w:r>
        <w:rPr>
          <w:rFonts w:hint="eastAsia" w:ascii="宋体" w:hAnsi="宋体" w:eastAsia="宋体" w:cs="宋体"/>
          <w:b/>
          <w:color w:val="auto"/>
          <w:sz w:val="24"/>
          <w:szCs w:val="20"/>
          <w:highlight w:val="none"/>
          <w:lang w:val="en-US" w:eastAsia="zh-CN"/>
        </w:rPr>
        <w:t>提示</w:t>
      </w:r>
    </w:p>
    <w:p w14:paraId="3BD55202">
      <w:pPr>
        <w:keepNext w:val="0"/>
        <w:keepLines w:val="0"/>
        <w:pageBreakBefore w:val="0"/>
        <w:widowControl w:val="0"/>
        <w:kinsoku/>
        <w:wordWrap/>
        <w:overflowPunct/>
        <w:topLinePunct/>
        <w:autoSpaceDE/>
        <w:autoSpaceDN/>
        <w:bidi w:val="0"/>
        <w:adjustRightInd w:val="0"/>
        <w:snapToGrid w:val="0"/>
        <w:spacing w:line="360" w:lineRule="auto"/>
        <w:ind w:firstLine="422" w:firstLineChars="200"/>
        <w:jc w:val="left"/>
        <w:textAlignment w:val="auto"/>
        <w:outlineLvl w:val="9"/>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为便于投标人编制电子投标（响应）文件，现将相关材料做出编制参考，有关内容仅供参考，具体投标人根据自身实际情况自行编制。</w:t>
      </w:r>
      <w:r>
        <w:rPr>
          <w:rFonts w:hint="eastAsia" w:ascii="宋体" w:hAnsi="宋体" w:eastAsia="宋体" w:cs="宋体"/>
          <w:b/>
          <w:color w:val="auto"/>
          <w:sz w:val="21"/>
          <w:szCs w:val="21"/>
          <w:highlight w:val="none"/>
          <w:lang w:val="en-US" w:eastAsia="zh-CN"/>
        </w:rPr>
        <w:t>如有相关更正，投标人则应当以更正后的内容及要求自行在文件编制客户端内按照制作工具显示的栏目编制。政府采购客户端相关</w:t>
      </w:r>
      <w:r>
        <w:rPr>
          <w:rFonts w:hint="eastAsia" w:ascii="宋体" w:hAnsi="宋体" w:cs="宋体"/>
          <w:b/>
          <w:color w:val="auto"/>
          <w:sz w:val="21"/>
          <w:szCs w:val="21"/>
          <w:highlight w:val="none"/>
          <w:lang w:val="en-US" w:eastAsia="zh-CN"/>
        </w:rPr>
        <w:t>编制</w:t>
      </w:r>
      <w:r>
        <w:rPr>
          <w:rFonts w:hint="eastAsia" w:ascii="宋体" w:hAnsi="宋体" w:eastAsia="宋体" w:cs="宋体"/>
          <w:b/>
          <w:color w:val="auto"/>
          <w:sz w:val="21"/>
          <w:szCs w:val="21"/>
          <w:highlight w:val="none"/>
          <w:lang w:val="en-US" w:eastAsia="zh-CN"/>
        </w:rPr>
        <w:t>等各类操作详见《操作手册》或咨询苏采云客服。</w:t>
      </w:r>
    </w:p>
    <w:p w14:paraId="34A624E5">
      <w:pPr>
        <w:keepNext w:val="0"/>
        <w:keepLines w:val="0"/>
        <w:pageBreakBefore w:val="0"/>
        <w:widowControl w:val="0"/>
        <w:kinsoku/>
        <w:wordWrap/>
        <w:overflowPunct/>
        <w:topLinePunct/>
        <w:autoSpaceDE/>
        <w:autoSpaceDN/>
        <w:bidi w:val="0"/>
        <w:adjustRightInd w:val="0"/>
        <w:snapToGrid w:val="0"/>
        <w:spacing w:line="360" w:lineRule="auto"/>
        <w:ind w:firstLine="422" w:firstLineChars="200"/>
        <w:jc w:val="center"/>
        <w:textAlignment w:val="auto"/>
        <w:outlineLvl w:val="9"/>
        <w:rPr>
          <w:rFonts w:hint="default"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电子</w:t>
      </w:r>
      <w:r>
        <w:rPr>
          <w:rFonts w:hint="eastAsia" w:ascii="宋体" w:hAnsi="宋体" w:eastAsia="宋体" w:cs="宋体"/>
          <w:b/>
          <w:color w:val="auto"/>
          <w:sz w:val="21"/>
          <w:szCs w:val="21"/>
          <w:highlight w:val="none"/>
          <w:lang w:val="en-US" w:eastAsia="zh-CN"/>
        </w:rPr>
        <w:t>投标（响应）文件</w:t>
      </w:r>
      <w:r>
        <w:rPr>
          <w:rFonts w:hint="eastAsia" w:ascii="宋体" w:hAnsi="宋体" w:cs="宋体"/>
          <w:b/>
          <w:color w:val="auto"/>
          <w:sz w:val="21"/>
          <w:szCs w:val="21"/>
          <w:highlight w:val="none"/>
          <w:lang w:val="en-US" w:eastAsia="zh-CN"/>
        </w:rPr>
        <w:t>内容</w:t>
      </w:r>
      <w:r>
        <w:rPr>
          <w:rFonts w:hint="eastAsia" w:ascii="宋体" w:hAnsi="宋体" w:eastAsia="宋体" w:cs="宋体"/>
          <w:b/>
          <w:color w:val="auto"/>
          <w:sz w:val="21"/>
          <w:szCs w:val="21"/>
          <w:highlight w:val="none"/>
          <w:lang w:val="en-US" w:eastAsia="zh-CN"/>
        </w:rPr>
        <w:t>编制</w:t>
      </w:r>
      <w:r>
        <w:rPr>
          <w:rFonts w:hint="eastAsia" w:ascii="宋体" w:hAnsi="宋体" w:cs="宋体"/>
          <w:b/>
          <w:color w:val="auto"/>
          <w:sz w:val="21"/>
          <w:szCs w:val="21"/>
          <w:highlight w:val="none"/>
          <w:lang w:val="en-US" w:eastAsia="zh-CN"/>
        </w:rPr>
        <w:t>参考</w:t>
      </w:r>
    </w:p>
    <w:tbl>
      <w:tblPr>
        <w:tblStyle w:val="19"/>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9"/>
        <w:gridCol w:w="5738"/>
      </w:tblGrid>
      <w:tr w14:paraId="1A39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72075AD4">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5"/>
                <w:szCs w:val="15"/>
                <w:highlight w:val="none"/>
                <w:lang w:eastAsia="zh-CN"/>
              </w:rPr>
            </w:pPr>
            <w:r>
              <w:rPr>
                <w:rFonts w:hint="eastAsia" w:ascii="宋体" w:hAnsi="宋体" w:eastAsia="宋体" w:cs="宋体"/>
                <w:b/>
                <w:color w:val="auto"/>
                <w:sz w:val="15"/>
                <w:szCs w:val="15"/>
                <w:highlight w:val="none"/>
                <w:lang w:val="en-US" w:eastAsia="zh-CN"/>
              </w:rPr>
              <w:t>目录名称</w:t>
            </w:r>
          </w:p>
        </w:tc>
        <w:tc>
          <w:tcPr>
            <w:tcW w:w="5738" w:type="dxa"/>
            <w:noWrap w:val="0"/>
            <w:tcMar>
              <w:top w:w="0" w:type="dxa"/>
              <w:left w:w="108" w:type="dxa"/>
              <w:bottom w:w="0" w:type="dxa"/>
              <w:right w:w="108" w:type="dxa"/>
            </w:tcMar>
            <w:vAlign w:val="center"/>
          </w:tcPr>
          <w:p w14:paraId="0914DC60">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5"/>
                <w:szCs w:val="15"/>
                <w:highlight w:val="none"/>
                <w:lang w:eastAsia="zh-CN"/>
              </w:rPr>
            </w:pPr>
            <w:r>
              <w:rPr>
                <w:rFonts w:hint="eastAsia" w:ascii="宋体" w:hAnsi="宋体" w:eastAsia="宋体" w:cs="宋体"/>
                <w:b/>
                <w:color w:val="auto"/>
                <w:sz w:val="15"/>
                <w:szCs w:val="15"/>
                <w:highlight w:val="none"/>
                <w:lang w:val="en-US" w:eastAsia="zh-CN"/>
              </w:rPr>
              <w:t>编制参考</w:t>
            </w:r>
            <w:r>
              <w:rPr>
                <w:rFonts w:hint="eastAsia" w:ascii="宋体" w:hAnsi="宋体" w:eastAsia="宋体" w:cs="宋体"/>
                <w:b/>
                <w:color w:val="0000FF"/>
                <w:sz w:val="15"/>
                <w:szCs w:val="15"/>
                <w:highlight w:val="none"/>
                <w:lang w:val="en-US" w:eastAsia="zh-CN"/>
              </w:rPr>
              <w:t>（均应按文件及系统要求进行签章）</w:t>
            </w:r>
          </w:p>
        </w:tc>
      </w:tr>
      <w:tr w14:paraId="5FD8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31A0F231">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基本目录</w:t>
            </w:r>
          </w:p>
        </w:tc>
        <w:tc>
          <w:tcPr>
            <w:tcW w:w="5738" w:type="dxa"/>
            <w:noWrap w:val="0"/>
            <w:tcMar>
              <w:top w:w="0" w:type="dxa"/>
              <w:left w:w="108" w:type="dxa"/>
              <w:bottom w:w="0" w:type="dxa"/>
              <w:right w:w="108" w:type="dxa"/>
            </w:tcMar>
            <w:vAlign w:val="center"/>
          </w:tcPr>
          <w:p w14:paraId="52E718BD">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p>
        </w:tc>
      </w:tr>
      <w:tr w14:paraId="7AC5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6E6D066E">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封面</w:t>
            </w:r>
          </w:p>
        </w:tc>
        <w:tc>
          <w:tcPr>
            <w:tcW w:w="5738" w:type="dxa"/>
            <w:noWrap w:val="0"/>
            <w:tcMar>
              <w:top w:w="0" w:type="dxa"/>
              <w:left w:w="108" w:type="dxa"/>
              <w:bottom w:w="0" w:type="dxa"/>
              <w:right w:w="108" w:type="dxa"/>
            </w:tcMar>
            <w:vAlign w:val="center"/>
          </w:tcPr>
          <w:p w14:paraId="53C985A2">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color w:val="auto"/>
                <w:sz w:val="15"/>
                <w:szCs w:val="15"/>
                <w:highlight w:val="none"/>
                <w:lang w:val="en-US"/>
              </w:rPr>
            </w:pPr>
            <w:r>
              <w:rPr>
                <w:rFonts w:hint="eastAsia" w:ascii="宋体" w:hAnsi="宋体" w:eastAsia="宋体" w:cs="宋体"/>
                <w:color w:val="auto"/>
                <w:sz w:val="15"/>
                <w:szCs w:val="15"/>
                <w:highlight w:val="none"/>
                <w:lang w:val="en-US" w:eastAsia="zh-CN"/>
              </w:rPr>
              <w:t>编制、上传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投标文件封面</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p>
        </w:tc>
      </w:tr>
      <w:tr w14:paraId="7E61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1D8BE1F7">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开标一览表</w:t>
            </w:r>
          </w:p>
        </w:tc>
        <w:tc>
          <w:tcPr>
            <w:tcW w:w="5738" w:type="dxa"/>
            <w:noWrap w:val="0"/>
            <w:tcMar>
              <w:top w:w="0" w:type="dxa"/>
              <w:left w:w="108" w:type="dxa"/>
              <w:bottom w:w="0" w:type="dxa"/>
              <w:right w:w="108" w:type="dxa"/>
            </w:tcMar>
            <w:vAlign w:val="center"/>
          </w:tcPr>
          <w:p w14:paraId="0B827250">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按软件系统显示的界面进行内容填列。</w:t>
            </w:r>
          </w:p>
        </w:tc>
      </w:tr>
      <w:tr w14:paraId="76E4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2132D2C3">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招标文件要求提供或投标人认为应附的其他材料</w:t>
            </w:r>
          </w:p>
        </w:tc>
        <w:tc>
          <w:tcPr>
            <w:tcW w:w="5738" w:type="dxa"/>
            <w:noWrap w:val="0"/>
            <w:tcMar>
              <w:top w:w="0" w:type="dxa"/>
              <w:left w:w="108" w:type="dxa"/>
              <w:bottom w:w="0" w:type="dxa"/>
              <w:right w:w="108" w:type="dxa"/>
            </w:tcMar>
            <w:vAlign w:val="center"/>
          </w:tcPr>
          <w:p w14:paraId="0A19BFCE">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编制、上传</w:t>
            </w:r>
            <w:r>
              <w:rPr>
                <w:rFonts w:hint="eastAsia" w:ascii="宋体" w:hAnsi="宋体" w:eastAsia="宋体" w:cs="宋体"/>
                <w:color w:val="auto"/>
                <w:sz w:val="15"/>
                <w:szCs w:val="15"/>
                <w:highlight w:val="none"/>
              </w:rPr>
              <w:t>招标文件要求提供或投标人认为应附的其他材料</w:t>
            </w:r>
            <w:r>
              <w:rPr>
                <w:rFonts w:hint="eastAsia" w:ascii="宋体" w:hAnsi="宋体" w:cs="宋体"/>
                <w:color w:val="auto"/>
                <w:sz w:val="15"/>
                <w:szCs w:val="15"/>
                <w:highlight w:val="none"/>
                <w:lang w:eastAsia="zh-CN"/>
              </w:rPr>
              <w:t>。</w:t>
            </w:r>
            <w:r>
              <w:rPr>
                <w:rFonts w:hint="eastAsia" w:ascii="宋体" w:hAnsi="宋体" w:cs="宋体"/>
                <w:color w:val="auto"/>
                <w:sz w:val="15"/>
                <w:szCs w:val="15"/>
                <w:highlight w:val="none"/>
                <w:lang w:val="en-US" w:eastAsia="zh-CN"/>
              </w:rPr>
              <w:t>如无，可填列“无”。</w:t>
            </w:r>
          </w:p>
        </w:tc>
      </w:tr>
      <w:tr w14:paraId="53EC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25F357FE">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b/>
                <w:bCs/>
                <w:color w:val="auto"/>
                <w:sz w:val="15"/>
                <w:szCs w:val="15"/>
                <w:highlight w:val="none"/>
                <w:lang w:val="en-US" w:eastAsia="zh-CN"/>
              </w:rPr>
              <w:t>资格条件</w:t>
            </w:r>
          </w:p>
        </w:tc>
        <w:tc>
          <w:tcPr>
            <w:tcW w:w="5738" w:type="dxa"/>
            <w:noWrap w:val="0"/>
            <w:tcMar>
              <w:top w:w="0" w:type="dxa"/>
              <w:left w:w="108" w:type="dxa"/>
              <w:bottom w:w="0" w:type="dxa"/>
              <w:right w:w="108" w:type="dxa"/>
            </w:tcMar>
            <w:vAlign w:val="center"/>
          </w:tcPr>
          <w:p w14:paraId="05E3CC77">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p>
        </w:tc>
      </w:tr>
      <w:tr w14:paraId="1F73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0D148D68">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未被“信用中国”网站（www.creditchina.gov.cn）或“中国政府采购网”网站（www.ccgp.gov.cn）列入失信被执行人、重大税收违法失信主体、政府采购严重违法失信行为记录名单；</w:t>
            </w:r>
          </w:p>
        </w:tc>
        <w:tc>
          <w:tcPr>
            <w:tcW w:w="5738" w:type="dxa"/>
            <w:noWrap w:val="0"/>
            <w:tcMar>
              <w:top w:w="0" w:type="dxa"/>
              <w:left w:w="108" w:type="dxa"/>
              <w:bottom w:w="0" w:type="dxa"/>
              <w:right w:w="108" w:type="dxa"/>
            </w:tcMar>
            <w:vAlign w:val="center"/>
          </w:tcPr>
          <w:p w14:paraId="258C67DD">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无须投标人提供，由采购人或采购代理机构现场查询为准。</w:t>
            </w:r>
          </w:p>
          <w:p w14:paraId="3C071F00">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投标人也可视情况自行提供或空白页面加盖公章即可。</w:t>
            </w:r>
          </w:p>
        </w:tc>
      </w:tr>
      <w:tr w14:paraId="6639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75A5D09F">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单位负责人为同一人或者存在直接控股、管理关系的不同供应商（包含法定代表人为同一个人的两个及两个以上法人，母公司、全资子公司及其控股公司），不得参加同一合同项下的政府采购活动。</w:t>
            </w:r>
          </w:p>
        </w:tc>
        <w:tc>
          <w:tcPr>
            <w:tcW w:w="5738" w:type="dxa"/>
            <w:noWrap w:val="0"/>
            <w:tcMar>
              <w:top w:w="0" w:type="dxa"/>
              <w:left w:w="108" w:type="dxa"/>
              <w:bottom w:w="0" w:type="dxa"/>
              <w:right w:w="108" w:type="dxa"/>
            </w:tcMar>
            <w:vAlign w:val="center"/>
          </w:tcPr>
          <w:p w14:paraId="06881656">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提供上传：</w:t>
            </w:r>
          </w:p>
          <w:p w14:paraId="5D360745">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1.营业执照等（上传有效的法人或者其他组织的营业执照等证明文件）；</w:t>
            </w:r>
          </w:p>
          <w:p w14:paraId="4D52C88C">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投标人资格声明函</w:t>
            </w:r>
            <w:r>
              <w:rPr>
                <w:rFonts w:hint="eastAsia" w:ascii="宋体" w:hAnsi="宋体" w:eastAsia="宋体" w:cs="宋体"/>
                <w:color w:val="auto"/>
                <w:sz w:val="15"/>
                <w:szCs w:val="15"/>
                <w:highlight w:val="none"/>
                <w:lang w:eastAsia="zh-CN"/>
              </w:rPr>
              <w:t>（</w:t>
            </w:r>
            <w:r>
              <w:rPr>
                <w:rFonts w:hint="eastAsia" w:ascii="宋体" w:hAnsi="宋体" w:cs="宋体"/>
                <w:color w:val="auto"/>
                <w:sz w:val="15"/>
                <w:szCs w:val="15"/>
                <w:highlight w:val="none"/>
                <w:lang w:val="en-US" w:eastAsia="zh-CN"/>
              </w:rPr>
              <w:t>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投标人资格声明函</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r>
              <w:rPr>
                <w:rFonts w:hint="eastAsia" w:ascii="宋体" w:hAnsi="宋体" w:eastAsia="宋体" w:cs="宋体"/>
                <w:color w:val="auto"/>
                <w:sz w:val="15"/>
                <w:szCs w:val="15"/>
                <w:highlight w:val="none"/>
                <w:lang w:eastAsia="zh-CN"/>
              </w:rPr>
              <w:t>）</w:t>
            </w:r>
          </w:p>
        </w:tc>
      </w:tr>
      <w:tr w14:paraId="2670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04683CC4">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00" w:lineRule="exact"/>
              <w:ind w:left="210" w:leftChars="100" w:right="0" w:rightChars="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中小企业声明函等</w:t>
            </w:r>
          </w:p>
        </w:tc>
        <w:tc>
          <w:tcPr>
            <w:tcW w:w="5738" w:type="dxa"/>
            <w:noWrap w:val="0"/>
            <w:tcMar>
              <w:top w:w="0" w:type="dxa"/>
              <w:left w:w="108" w:type="dxa"/>
              <w:bottom w:w="0" w:type="dxa"/>
              <w:right w:w="108" w:type="dxa"/>
            </w:tcMar>
            <w:vAlign w:val="center"/>
          </w:tcPr>
          <w:p w14:paraId="70B13105">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beforeAutospacing="0" w:after="0" w:afterAutospacing="0" w:line="200" w:lineRule="exact"/>
              <w:ind w:left="0" w:leftChars="0" w:right="0" w:rightChars="0"/>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rPr>
              <w:t>根据自身属性，编制、上传与符合自身属性的《中小企业声明函》或者《残疾人福利性单位声明函》或者监狱企业证明文件，格式详见招标文件中对应附件。</w:t>
            </w:r>
          </w:p>
        </w:tc>
      </w:tr>
      <w:tr w14:paraId="69A4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68415027">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00" w:lineRule="exact"/>
              <w:ind w:left="210" w:leftChars="100" w:right="0" w:rightChars="0"/>
              <w:jc w:val="left"/>
              <w:textAlignment w:val="auto"/>
              <w:rPr>
                <w:rFonts w:hint="default"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食品经营许可证</w:t>
            </w:r>
          </w:p>
        </w:tc>
        <w:tc>
          <w:tcPr>
            <w:tcW w:w="5738" w:type="dxa"/>
            <w:noWrap w:val="0"/>
            <w:tcMar>
              <w:top w:w="0" w:type="dxa"/>
              <w:left w:w="108" w:type="dxa"/>
              <w:bottom w:w="0" w:type="dxa"/>
              <w:right w:w="108" w:type="dxa"/>
            </w:tcMar>
            <w:vAlign w:val="center"/>
          </w:tcPr>
          <w:p w14:paraId="50876B31">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beforeAutospacing="0" w:after="0" w:afterAutospacing="0" w:line="200" w:lineRule="exact"/>
              <w:ind w:left="0" w:leftChars="0" w:right="0" w:rightChars="0"/>
              <w:textAlignment w:val="auto"/>
              <w:rPr>
                <w:rFonts w:hint="default" w:ascii="宋体" w:hAnsi="宋体" w:eastAsia="宋体" w:cs="宋体"/>
                <w:color w:val="auto"/>
                <w:sz w:val="15"/>
                <w:szCs w:val="15"/>
                <w:highlight w:val="none"/>
                <w:lang w:val="en-US" w:eastAsia="zh-CN"/>
              </w:rPr>
            </w:pPr>
            <w:r>
              <w:rPr>
                <w:rFonts w:hint="eastAsia" w:cs="宋体"/>
                <w:color w:val="auto"/>
                <w:sz w:val="15"/>
                <w:szCs w:val="15"/>
                <w:highlight w:val="none"/>
                <w:lang w:val="en-US" w:eastAsia="zh-CN"/>
              </w:rPr>
              <w:t>提供上传有效的《食品经营许可证》</w:t>
            </w:r>
          </w:p>
        </w:tc>
      </w:tr>
      <w:tr w14:paraId="0041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321695C7">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b/>
                <w:bCs/>
                <w:color w:val="auto"/>
                <w:sz w:val="15"/>
                <w:szCs w:val="15"/>
                <w:highlight w:val="none"/>
                <w:lang w:val="en-US" w:eastAsia="zh-CN"/>
              </w:rPr>
              <w:t>符合条件</w:t>
            </w:r>
          </w:p>
        </w:tc>
        <w:tc>
          <w:tcPr>
            <w:tcW w:w="5738" w:type="dxa"/>
            <w:noWrap w:val="0"/>
            <w:tcMar>
              <w:top w:w="0" w:type="dxa"/>
              <w:left w:w="108" w:type="dxa"/>
              <w:bottom w:w="0" w:type="dxa"/>
              <w:right w:w="108" w:type="dxa"/>
            </w:tcMar>
            <w:vAlign w:val="center"/>
          </w:tcPr>
          <w:p w14:paraId="036B1043">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p>
        </w:tc>
      </w:tr>
      <w:tr w14:paraId="4246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3D28348D">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报价符合性审查</w:t>
            </w:r>
          </w:p>
        </w:tc>
        <w:tc>
          <w:tcPr>
            <w:tcW w:w="5738" w:type="dxa"/>
            <w:noWrap w:val="0"/>
            <w:tcMar>
              <w:top w:w="0" w:type="dxa"/>
              <w:left w:w="108" w:type="dxa"/>
              <w:bottom w:w="0" w:type="dxa"/>
              <w:right w:w="108" w:type="dxa"/>
            </w:tcMar>
            <w:vAlign w:val="center"/>
          </w:tcPr>
          <w:p w14:paraId="4ED3F65C">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default"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如需提供说明材料，可在此提供</w:t>
            </w:r>
          </w:p>
        </w:tc>
      </w:tr>
      <w:tr w14:paraId="3C1E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43924AD2">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投标函</w:t>
            </w:r>
          </w:p>
        </w:tc>
        <w:tc>
          <w:tcPr>
            <w:tcW w:w="5738" w:type="dxa"/>
            <w:noWrap w:val="0"/>
            <w:tcMar>
              <w:top w:w="0" w:type="dxa"/>
              <w:left w:w="108" w:type="dxa"/>
              <w:bottom w:w="0" w:type="dxa"/>
              <w:right w:w="108" w:type="dxa"/>
            </w:tcMar>
            <w:vAlign w:val="center"/>
          </w:tcPr>
          <w:p w14:paraId="262CD809">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投标函</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p>
        </w:tc>
      </w:tr>
      <w:tr w14:paraId="109D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24C21E15">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法定代表人资格证明书</w:t>
            </w:r>
          </w:p>
        </w:tc>
        <w:tc>
          <w:tcPr>
            <w:tcW w:w="5738" w:type="dxa"/>
            <w:noWrap w:val="0"/>
            <w:tcMar>
              <w:top w:w="0" w:type="dxa"/>
              <w:left w:w="108" w:type="dxa"/>
              <w:bottom w:w="0" w:type="dxa"/>
              <w:right w:w="108" w:type="dxa"/>
            </w:tcMar>
            <w:vAlign w:val="center"/>
          </w:tcPr>
          <w:p w14:paraId="7603F2A6">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法定代表人资格证明书</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p>
        </w:tc>
      </w:tr>
      <w:tr w14:paraId="4854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11E05DBD">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授权委托书（如有）</w:t>
            </w:r>
          </w:p>
        </w:tc>
        <w:tc>
          <w:tcPr>
            <w:tcW w:w="5738" w:type="dxa"/>
            <w:noWrap w:val="0"/>
            <w:tcMar>
              <w:top w:w="0" w:type="dxa"/>
              <w:left w:w="108" w:type="dxa"/>
              <w:bottom w:w="0" w:type="dxa"/>
              <w:right w:w="108" w:type="dxa"/>
            </w:tcMar>
            <w:vAlign w:val="center"/>
          </w:tcPr>
          <w:p w14:paraId="5D1BD69E">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color w:val="auto"/>
                <w:sz w:val="15"/>
                <w:szCs w:val="15"/>
                <w:highlight w:val="none"/>
                <w:lang w:val="en-US"/>
              </w:rPr>
            </w:pPr>
            <w:r>
              <w:rPr>
                <w:rFonts w:hint="eastAsia" w:ascii="宋体" w:hAnsi="宋体" w:cs="宋体"/>
                <w:color w:val="auto"/>
                <w:sz w:val="15"/>
                <w:szCs w:val="15"/>
                <w:highlight w:val="none"/>
                <w:lang w:val="en-US" w:eastAsia="zh-CN"/>
              </w:rPr>
              <w:t>如有授权：编制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授权委托书</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r>
              <w:rPr>
                <w:rFonts w:hint="eastAsia" w:ascii="宋体" w:hAnsi="宋体" w:cs="宋体"/>
                <w:color w:val="auto"/>
                <w:sz w:val="15"/>
                <w:szCs w:val="15"/>
                <w:highlight w:val="none"/>
                <w:lang w:val="en-US" w:eastAsia="zh-CN"/>
              </w:rPr>
              <w:t>如无授权：</w:t>
            </w:r>
            <w:r>
              <w:rPr>
                <w:rFonts w:hint="eastAsia" w:ascii="宋体" w:hAnsi="宋体" w:eastAsia="宋体" w:cs="宋体"/>
                <w:color w:val="auto"/>
                <w:sz w:val="15"/>
                <w:szCs w:val="15"/>
                <w:highlight w:val="none"/>
                <w:lang w:val="en-US" w:eastAsia="zh-CN"/>
              </w:rPr>
              <w:t>空白页面加盖公章即可。</w:t>
            </w:r>
          </w:p>
        </w:tc>
      </w:tr>
      <w:tr w14:paraId="1D69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shd w:val="clear" w:color="auto" w:fill="auto"/>
            <w:noWrap w:val="0"/>
            <w:tcMar>
              <w:top w:w="0" w:type="dxa"/>
              <w:left w:w="108" w:type="dxa"/>
              <w:bottom w:w="0" w:type="dxa"/>
              <w:right w:w="108" w:type="dxa"/>
            </w:tcMar>
            <w:vAlign w:val="center"/>
          </w:tcPr>
          <w:p w14:paraId="31D57B43">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rightChars="0"/>
              <w:jc w:val="left"/>
              <w:textAlignment w:val="auto"/>
              <w:rPr>
                <w:rFonts w:hint="eastAsia" w:ascii="宋体" w:hAnsi="宋体" w:eastAsia="宋体" w:cs="宋体"/>
                <w:color w:val="auto"/>
                <w:kern w:val="2"/>
                <w:sz w:val="15"/>
                <w:szCs w:val="15"/>
                <w:highlight w:val="none"/>
                <w:lang w:val="en-US" w:eastAsia="zh-CN" w:bidi="ar-SA"/>
              </w:rPr>
            </w:pPr>
            <w:r>
              <w:rPr>
                <w:rFonts w:hint="eastAsia" w:ascii="宋体" w:hAnsi="宋体" w:eastAsia="宋体" w:cs="宋体"/>
                <w:color w:val="auto"/>
                <w:sz w:val="15"/>
                <w:szCs w:val="15"/>
                <w:highlight w:val="none"/>
              </w:rPr>
              <w:t>报价一览表</w:t>
            </w:r>
          </w:p>
        </w:tc>
        <w:tc>
          <w:tcPr>
            <w:tcW w:w="5738" w:type="dxa"/>
            <w:shd w:val="clear" w:color="auto" w:fill="auto"/>
            <w:noWrap w:val="0"/>
            <w:tcMar>
              <w:top w:w="0" w:type="dxa"/>
              <w:left w:w="108" w:type="dxa"/>
              <w:bottom w:w="0" w:type="dxa"/>
              <w:right w:w="108" w:type="dxa"/>
            </w:tcMar>
            <w:vAlign w:val="center"/>
          </w:tcPr>
          <w:p w14:paraId="4ADDA14B">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15"/>
                <w:szCs w:val="15"/>
                <w:highlight w:val="none"/>
                <w:lang w:val="en-US" w:eastAsia="zh-CN" w:bidi="ar-SA"/>
              </w:rPr>
            </w:pPr>
            <w:r>
              <w:rPr>
                <w:rFonts w:hint="eastAsia" w:ascii="宋体" w:hAnsi="宋体" w:cs="宋体"/>
                <w:color w:val="auto"/>
                <w:sz w:val="15"/>
                <w:szCs w:val="15"/>
                <w:highlight w:val="none"/>
                <w:lang w:val="en-US" w:eastAsia="zh-CN"/>
              </w:rPr>
              <w:t>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报价一览表</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p>
        </w:tc>
      </w:tr>
      <w:tr w14:paraId="6F4D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shd w:val="clear" w:color="auto" w:fill="auto"/>
            <w:noWrap w:val="0"/>
            <w:tcMar>
              <w:top w:w="0" w:type="dxa"/>
              <w:left w:w="108" w:type="dxa"/>
              <w:bottom w:w="0" w:type="dxa"/>
              <w:right w:w="108" w:type="dxa"/>
            </w:tcMar>
            <w:vAlign w:val="center"/>
          </w:tcPr>
          <w:p w14:paraId="0BA6A20F">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rightChars="0"/>
              <w:jc w:val="left"/>
              <w:textAlignment w:val="auto"/>
              <w:rPr>
                <w:rFonts w:hint="eastAsia" w:ascii="宋体" w:hAnsi="宋体" w:eastAsia="宋体" w:cs="宋体"/>
                <w:color w:val="auto"/>
                <w:kern w:val="2"/>
                <w:sz w:val="15"/>
                <w:szCs w:val="15"/>
                <w:highlight w:val="none"/>
                <w:lang w:val="en-US" w:eastAsia="zh-CN" w:bidi="ar-SA"/>
              </w:rPr>
            </w:pPr>
            <w:r>
              <w:rPr>
                <w:rFonts w:hint="eastAsia" w:ascii="宋体" w:hAnsi="宋体" w:cs="宋体"/>
                <w:color w:val="auto"/>
                <w:sz w:val="15"/>
                <w:szCs w:val="15"/>
                <w:highlight w:val="none"/>
                <w:lang w:val="en-US" w:eastAsia="zh-CN"/>
              </w:rPr>
              <w:t>报价组成明细表</w:t>
            </w:r>
          </w:p>
        </w:tc>
        <w:tc>
          <w:tcPr>
            <w:tcW w:w="5738" w:type="dxa"/>
            <w:shd w:val="clear" w:color="auto" w:fill="auto"/>
            <w:noWrap w:val="0"/>
            <w:tcMar>
              <w:top w:w="0" w:type="dxa"/>
              <w:left w:w="108" w:type="dxa"/>
              <w:bottom w:w="0" w:type="dxa"/>
              <w:right w:w="108" w:type="dxa"/>
            </w:tcMar>
            <w:vAlign w:val="center"/>
          </w:tcPr>
          <w:p w14:paraId="782E28A0">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15"/>
                <w:szCs w:val="15"/>
                <w:highlight w:val="none"/>
                <w:lang w:val="en-US" w:eastAsia="zh-CN" w:bidi="ar-SA"/>
              </w:rPr>
            </w:pPr>
            <w:r>
              <w:rPr>
                <w:rFonts w:hint="eastAsia" w:ascii="宋体" w:hAnsi="宋体" w:cs="宋体"/>
                <w:color w:val="auto"/>
                <w:sz w:val="15"/>
                <w:szCs w:val="15"/>
                <w:highlight w:val="none"/>
                <w:lang w:val="en-US" w:eastAsia="zh-CN"/>
              </w:rPr>
              <w:t>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cs="宋体"/>
                <w:color w:val="auto"/>
                <w:sz w:val="15"/>
                <w:szCs w:val="15"/>
                <w:highlight w:val="none"/>
                <w:lang w:val="en-US" w:eastAsia="zh-CN"/>
              </w:rPr>
              <w:t>报价组成明细表</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p>
        </w:tc>
      </w:tr>
      <w:tr w14:paraId="26D8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458DCF6F">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符合性审查表</w:t>
            </w:r>
          </w:p>
        </w:tc>
        <w:tc>
          <w:tcPr>
            <w:tcW w:w="5738" w:type="dxa"/>
            <w:noWrap w:val="0"/>
            <w:tcMar>
              <w:top w:w="0" w:type="dxa"/>
              <w:left w:w="108" w:type="dxa"/>
              <w:bottom w:w="0" w:type="dxa"/>
              <w:right w:w="108" w:type="dxa"/>
            </w:tcMar>
            <w:vAlign w:val="center"/>
          </w:tcPr>
          <w:p w14:paraId="4393CA71">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符合性审查表</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p>
        </w:tc>
      </w:tr>
      <w:tr w14:paraId="3F7D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1A54264A">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合同条款偏离表</w:t>
            </w:r>
          </w:p>
        </w:tc>
        <w:tc>
          <w:tcPr>
            <w:tcW w:w="5738" w:type="dxa"/>
            <w:noWrap w:val="0"/>
            <w:tcMar>
              <w:top w:w="0" w:type="dxa"/>
              <w:left w:w="108" w:type="dxa"/>
              <w:bottom w:w="0" w:type="dxa"/>
              <w:right w:w="108" w:type="dxa"/>
            </w:tcMar>
            <w:vAlign w:val="center"/>
          </w:tcPr>
          <w:p w14:paraId="35FDE636">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合同条款偏离表</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p>
        </w:tc>
      </w:tr>
      <w:tr w14:paraId="463B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7F674B3D">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采购需求偏离表</w:t>
            </w:r>
          </w:p>
        </w:tc>
        <w:tc>
          <w:tcPr>
            <w:tcW w:w="5738" w:type="dxa"/>
            <w:noWrap w:val="0"/>
            <w:tcMar>
              <w:top w:w="0" w:type="dxa"/>
              <w:left w:w="108" w:type="dxa"/>
              <w:bottom w:w="0" w:type="dxa"/>
              <w:right w:w="108" w:type="dxa"/>
            </w:tcMar>
            <w:vAlign w:val="center"/>
          </w:tcPr>
          <w:p w14:paraId="462998CA">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编制</w:t>
            </w:r>
            <w:r>
              <w:rPr>
                <w:rFonts w:hint="eastAsia" w:ascii="宋体" w:hAnsi="宋体" w:eastAsia="宋体" w:cs="宋体"/>
                <w:color w:val="auto"/>
                <w:sz w:val="15"/>
                <w:szCs w:val="15"/>
                <w:highlight w:val="none"/>
                <w:lang w:val="en-US" w:eastAsia="zh-CN"/>
              </w:rPr>
              <w:t>、上传</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采购需求偏离表</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格式详见招标文件中对应附件。</w:t>
            </w:r>
          </w:p>
        </w:tc>
      </w:tr>
      <w:tr w14:paraId="2D3E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501B3D0A">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default" w:ascii="宋体" w:hAnsi="宋体" w:eastAsia="宋体" w:cs="宋体"/>
                <w:color w:val="auto"/>
                <w:sz w:val="15"/>
                <w:szCs w:val="15"/>
                <w:highlight w:val="none"/>
                <w:lang w:val="en-US" w:eastAsia="zh-CN"/>
              </w:rPr>
            </w:pPr>
            <w:r>
              <w:rPr>
                <w:rFonts w:hint="eastAsia" w:ascii="宋体" w:hAnsi="宋体" w:eastAsia="宋体" w:cs="宋体"/>
                <w:b/>
                <w:bCs/>
                <w:color w:val="auto"/>
                <w:sz w:val="15"/>
                <w:szCs w:val="15"/>
                <w:highlight w:val="none"/>
                <w:lang w:val="en-US" w:eastAsia="zh-CN"/>
              </w:rPr>
              <w:t>综合评审得分项</w:t>
            </w:r>
          </w:p>
        </w:tc>
        <w:tc>
          <w:tcPr>
            <w:tcW w:w="5738" w:type="dxa"/>
            <w:noWrap w:val="0"/>
            <w:tcMar>
              <w:top w:w="0" w:type="dxa"/>
              <w:left w:w="108" w:type="dxa"/>
              <w:bottom w:w="0" w:type="dxa"/>
              <w:right w:w="108" w:type="dxa"/>
            </w:tcMar>
            <w:vAlign w:val="center"/>
          </w:tcPr>
          <w:p w14:paraId="08694A2E">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cs="宋体"/>
                <w:color w:val="auto"/>
                <w:sz w:val="15"/>
                <w:szCs w:val="15"/>
                <w:highlight w:val="none"/>
                <w:lang w:val="en-US" w:eastAsia="zh-CN"/>
              </w:rPr>
            </w:pPr>
          </w:p>
        </w:tc>
      </w:tr>
      <w:tr w14:paraId="50D1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03255C3D">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w:t>
            </w:r>
          </w:p>
        </w:tc>
        <w:tc>
          <w:tcPr>
            <w:tcW w:w="5738" w:type="dxa"/>
            <w:noWrap w:val="0"/>
            <w:tcMar>
              <w:top w:w="0" w:type="dxa"/>
              <w:left w:w="108" w:type="dxa"/>
              <w:bottom w:w="0" w:type="dxa"/>
              <w:right w:w="108" w:type="dxa"/>
            </w:tcMar>
            <w:vAlign w:val="center"/>
          </w:tcPr>
          <w:p w14:paraId="003D8213">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default"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根据评标标准，逐项提供相关证明材料。</w:t>
            </w:r>
          </w:p>
        </w:tc>
      </w:tr>
      <w:tr w14:paraId="1DB2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20C7E609">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eastAsia="zh-CN"/>
              </w:rPr>
              <w:t>……</w:t>
            </w:r>
          </w:p>
        </w:tc>
        <w:tc>
          <w:tcPr>
            <w:tcW w:w="5738" w:type="dxa"/>
            <w:noWrap w:val="0"/>
            <w:tcMar>
              <w:top w:w="0" w:type="dxa"/>
              <w:left w:w="108" w:type="dxa"/>
              <w:bottom w:w="0" w:type="dxa"/>
              <w:right w:w="108" w:type="dxa"/>
            </w:tcMar>
            <w:vAlign w:val="center"/>
          </w:tcPr>
          <w:p w14:paraId="7C21E91F">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根据评标标准，逐项提供相关证明材料。</w:t>
            </w:r>
          </w:p>
        </w:tc>
      </w:tr>
      <w:tr w14:paraId="270B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305A311D">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eastAsia="zh-CN"/>
              </w:rPr>
              <w:t>……</w:t>
            </w:r>
          </w:p>
        </w:tc>
        <w:tc>
          <w:tcPr>
            <w:tcW w:w="5738" w:type="dxa"/>
            <w:noWrap w:val="0"/>
            <w:tcMar>
              <w:top w:w="0" w:type="dxa"/>
              <w:left w:w="108" w:type="dxa"/>
              <w:bottom w:w="0" w:type="dxa"/>
              <w:right w:w="108" w:type="dxa"/>
            </w:tcMar>
            <w:vAlign w:val="center"/>
          </w:tcPr>
          <w:p w14:paraId="33B9FEA5">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根据评标标准，逐项提供相关证明材料。</w:t>
            </w:r>
          </w:p>
        </w:tc>
      </w:tr>
      <w:tr w14:paraId="5C5C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21901C17">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lang w:val="en-US" w:eastAsia="zh-CN"/>
              </w:rPr>
              <w:t>价格折扣文件格式</w:t>
            </w:r>
          </w:p>
        </w:tc>
        <w:tc>
          <w:tcPr>
            <w:tcW w:w="5738" w:type="dxa"/>
            <w:noWrap w:val="0"/>
            <w:tcMar>
              <w:top w:w="0" w:type="dxa"/>
              <w:left w:w="108" w:type="dxa"/>
              <w:bottom w:w="0" w:type="dxa"/>
              <w:right w:w="108" w:type="dxa"/>
            </w:tcMar>
            <w:vAlign w:val="center"/>
          </w:tcPr>
          <w:p w14:paraId="5C5842DB">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cs="宋体"/>
                <w:color w:val="auto"/>
                <w:sz w:val="15"/>
                <w:szCs w:val="15"/>
                <w:highlight w:val="none"/>
                <w:lang w:val="en-US" w:eastAsia="zh-CN"/>
              </w:rPr>
            </w:pPr>
          </w:p>
        </w:tc>
      </w:tr>
      <w:tr w14:paraId="2465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22FE7729">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eastAsia="zh-CN"/>
              </w:rPr>
              <w:t>企业报价折扣证明</w:t>
            </w:r>
            <w:r>
              <w:rPr>
                <w:rFonts w:hint="eastAsia" w:ascii="宋体" w:hAnsi="宋体" w:cs="宋体"/>
                <w:color w:val="auto"/>
                <w:sz w:val="15"/>
                <w:szCs w:val="15"/>
                <w:highlight w:val="none"/>
                <w:lang w:eastAsia="zh-CN"/>
              </w:rPr>
              <w:t>（小微企业、监狱和戒毒企业、残疾人福利单位声明函）</w:t>
            </w:r>
          </w:p>
        </w:tc>
        <w:tc>
          <w:tcPr>
            <w:tcW w:w="5738" w:type="dxa"/>
            <w:noWrap w:val="0"/>
            <w:tcMar>
              <w:top w:w="0" w:type="dxa"/>
              <w:left w:w="108" w:type="dxa"/>
              <w:bottom w:w="0" w:type="dxa"/>
              <w:right w:w="108" w:type="dxa"/>
            </w:tcMar>
            <w:vAlign w:val="center"/>
          </w:tcPr>
          <w:p w14:paraId="78F43FD6">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cs="宋体"/>
                <w:color w:val="auto"/>
                <w:sz w:val="15"/>
                <w:szCs w:val="15"/>
                <w:highlight w:val="none"/>
                <w:lang w:val="en-US" w:eastAsia="zh-CN"/>
              </w:rPr>
            </w:pPr>
            <w:r>
              <w:rPr>
                <w:rFonts w:hint="eastAsia" w:ascii="宋体" w:hAnsi="宋体" w:eastAsia="宋体" w:cs="宋体"/>
                <w:color w:val="auto"/>
                <w:sz w:val="15"/>
                <w:szCs w:val="15"/>
                <w:highlight w:val="none"/>
              </w:rPr>
              <w:t>根据自身属性，编制、上传与符合自身属性的《中小企业声明函》或者《残疾人福利性单位声明函》或者监狱企业证明文件，格式详见招标文件中对应附件。</w:t>
            </w:r>
          </w:p>
        </w:tc>
      </w:tr>
      <w:tr w14:paraId="61AF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9" w:type="dxa"/>
            <w:noWrap w:val="0"/>
            <w:tcMar>
              <w:top w:w="0" w:type="dxa"/>
              <w:left w:w="108" w:type="dxa"/>
              <w:bottom w:w="0" w:type="dxa"/>
              <w:right w:w="108" w:type="dxa"/>
            </w:tcMar>
            <w:vAlign w:val="center"/>
          </w:tcPr>
          <w:p w14:paraId="782F8454">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210" w:leftChars="100" w:right="0"/>
              <w:jc w:val="left"/>
              <w:textAlignment w:val="auto"/>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eastAsia="zh-CN"/>
              </w:rPr>
              <w:t>关于符合本国产品标准的声明函</w:t>
            </w:r>
          </w:p>
        </w:tc>
        <w:tc>
          <w:tcPr>
            <w:tcW w:w="5738" w:type="dxa"/>
            <w:noWrap w:val="0"/>
            <w:tcMar>
              <w:top w:w="0" w:type="dxa"/>
              <w:left w:w="108" w:type="dxa"/>
              <w:bottom w:w="0" w:type="dxa"/>
              <w:right w:w="108" w:type="dxa"/>
            </w:tcMar>
            <w:vAlign w:val="center"/>
          </w:tcPr>
          <w:p w14:paraId="3D145619">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根据</w:t>
            </w:r>
            <w:r>
              <w:rPr>
                <w:rFonts w:hint="eastAsia" w:ascii="宋体" w:hAnsi="宋体" w:cs="宋体"/>
                <w:color w:val="auto"/>
                <w:sz w:val="15"/>
                <w:szCs w:val="15"/>
                <w:highlight w:val="none"/>
                <w:lang w:val="en-US" w:eastAsia="zh-CN"/>
              </w:rPr>
              <w:t>实际情况</w:t>
            </w:r>
            <w:r>
              <w:rPr>
                <w:rFonts w:hint="eastAsia" w:ascii="宋体" w:hAnsi="宋体" w:eastAsia="宋体" w:cs="宋体"/>
                <w:color w:val="auto"/>
                <w:sz w:val="15"/>
                <w:szCs w:val="15"/>
                <w:highlight w:val="none"/>
              </w:rPr>
              <w:t>，编制、上传</w:t>
            </w:r>
            <w:r>
              <w:rPr>
                <w:rFonts w:hint="eastAsia" w:ascii="宋体" w:hAnsi="宋体" w:cs="宋体"/>
                <w:color w:val="auto"/>
                <w:sz w:val="15"/>
                <w:szCs w:val="15"/>
                <w:highlight w:val="none"/>
                <w:lang w:eastAsia="zh-CN"/>
              </w:rPr>
              <w:t>《关于符合本国产品标准的声明函》</w:t>
            </w:r>
            <w:r>
              <w:rPr>
                <w:rFonts w:hint="eastAsia" w:ascii="宋体" w:hAnsi="宋体" w:eastAsia="宋体" w:cs="宋体"/>
                <w:color w:val="auto"/>
                <w:sz w:val="15"/>
                <w:szCs w:val="15"/>
                <w:highlight w:val="none"/>
              </w:rPr>
              <w:t>，格式详见招标文件中对应附件。</w:t>
            </w:r>
            <w:r>
              <w:rPr>
                <w:rFonts w:hint="eastAsia" w:ascii="宋体" w:hAnsi="宋体" w:cs="宋体"/>
                <w:color w:val="auto"/>
                <w:sz w:val="15"/>
                <w:szCs w:val="15"/>
                <w:highlight w:val="none"/>
                <w:lang w:eastAsia="zh-CN"/>
              </w:rPr>
              <w:t>（</w:t>
            </w:r>
            <w:r>
              <w:rPr>
                <w:rFonts w:hint="eastAsia" w:ascii="宋体" w:hAnsi="宋体" w:cs="宋体"/>
                <w:color w:val="auto"/>
                <w:sz w:val="15"/>
                <w:szCs w:val="15"/>
                <w:highlight w:val="none"/>
                <w:lang w:val="en-US" w:eastAsia="zh-CN"/>
              </w:rPr>
              <w:t>本项目不涉及，不填写或空白页加盖公章即可</w:t>
            </w:r>
            <w:r>
              <w:rPr>
                <w:rFonts w:hint="eastAsia" w:ascii="宋体" w:hAnsi="宋体" w:cs="宋体"/>
                <w:color w:val="auto"/>
                <w:sz w:val="15"/>
                <w:szCs w:val="15"/>
                <w:highlight w:val="none"/>
                <w:lang w:eastAsia="zh-CN"/>
              </w:rPr>
              <w:t>）</w:t>
            </w:r>
          </w:p>
        </w:tc>
      </w:tr>
      <w:bookmarkEnd w:id="6"/>
    </w:tbl>
    <w:p w14:paraId="3B2F8735">
      <w:pPr>
        <w:pStyle w:val="17"/>
        <w:keepNext w:val="0"/>
        <w:keepLines w:val="0"/>
        <w:pageBreakBefore w:val="0"/>
        <w:widowControl w:val="0"/>
        <w:kinsoku/>
        <w:wordWrap/>
        <w:overflowPunct/>
        <w:topLinePunct/>
        <w:autoSpaceDE/>
        <w:autoSpaceDN/>
        <w:bidi w:val="0"/>
        <w:adjustRightInd w:val="0"/>
        <w:snapToGrid w:val="0"/>
        <w:spacing w:line="360" w:lineRule="auto"/>
        <w:ind w:left="0" w:leftChars="0" w:firstLine="0" w:firstLineChars="0"/>
        <w:textAlignment w:val="auto"/>
        <w:rPr>
          <w:rFonts w:hint="default" w:ascii="宋体" w:hAnsi="宋体" w:eastAsia="宋体" w:cs="宋体"/>
          <w:b/>
          <w:bCs/>
          <w:color w:val="auto"/>
          <w:sz w:val="18"/>
          <w:szCs w:val="18"/>
          <w:highlight w:val="none"/>
          <w:lang w:val="en-US" w:eastAsia="zh-CN"/>
        </w:rPr>
      </w:pPr>
    </w:p>
    <w:sectPr>
      <w:headerReference r:id="rId3" w:type="default"/>
      <w:footerReference r:id="rId4" w:type="default"/>
      <w:pgSz w:w="11906" w:h="16838"/>
      <w:pgMar w:top="1440" w:right="1440" w:bottom="144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9F73D">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15060" cy="1828800"/>
              <wp:effectExtent l="0" t="0" r="0" b="0"/>
              <wp:wrapNone/>
              <wp:docPr id="8" name="文本框 1"/>
              <wp:cNvGraphicFramePr/>
              <a:graphic xmlns:a="http://schemas.openxmlformats.org/drawingml/2006/main">
                <a:graphicData uri="http://schemas.microsoft.com/office/word/2010/wordprocessingShape">
                  <wps:wsp>
                    <wps:cNvSpPr txBox="1"/>
                    <wps:spPr>
                      <a:xfrm>
                        <a:off x="0" y="0"/>
                        <a:ext cx="111506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71FB4">
                          <w:pPr>
                            <w:pStyle w:val="12"/>
                            <w:jc w:val="center"/>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69</w:t>
                          </w:r>
                          <w:r>
                            <w:fldChar w:fldCharType="end"/>
                          </w:r>
                          <w:r>
                            <w:rPr>
                              <w:rFonts w:hint="eastAsia"/>
                            </w:rPr>
                            <w:t xml:space="preserve"> 页</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87.8pt;mso-position-horizontal:center;mso-position-horizontal-relative:margin;z-index:251659264;mso-width-relative:page;mso-height-relative:page;" filled="f" stroked="f" coordsize="21600,21600" o:gfxdata="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c4Mlq1AAAAAUBAAAPAAAAAAAAAAEAIAAAACIAAABkcnMvZG93bnJldi54&#10;bWxQSwECFAAUAAAACACHTuJAA3ofVTcCAABjBAAADgAAAAAAAAABACAAAAAjAQAAZHJzL2Uyb0Rv&#10;Yy54bWxQSwUGAAAAAAYABgBZAQAAzAUAAAAA&#10;">
              <v:fill on="f" focussize="0,0"/>
              <v:stroke on="f" weight="0.5pt"/>
              <v:imagedata o:title=""/>
              <o:lock v:ext="edit" aspectratio="f"/>
              <v:textbox inset="0mm,0mm,0mm,0mm" style="mso-fit-shape-to-text:t;">
                <w:txbxContent>
                  <w:p w14:paraId="3AF71FB4">
                    <w:pPr>
                      <w:pStyle w:val="12"/>
                      <w:jc w:val="center"/>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69</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D420">
    <w:pPr>
      <w:pStyle w:val="13"/>
      <w:pBdr>
        <w:bottom w:val="single" w:color="auto" w:sz="4" w:space="1"/>
      </w:pBdr>
      <w:jc w:val="right"/>
    </w:pPr>
    <w:r>
      <w:rPr>
        <w:rFonts w:hint="eastAsia" w:eastAsia="Times New Roman"/>
      </w:rPr>
      <w:drawing>
        <wp:inline distT="0" distB="0" distL="114300" distR="114300">
          <wp:extent cx="1319530" cy="200025"/>
          <wp:effectExtent l="0" t="0" r="13970" b="9525"/>
          <wp:docPr id="5" name="图片 1" descr="hz-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hz-04"/>
                  <pic:cNvPicPr>
                    <a:picLocks noChangeAspect="1"/>
                  </pic:cNvPicPr>
                </pic:nvPicPr>
                <pic:blipFill>
                  <a:blip r:embed="rId1"/>
                  <a:stretch>
                    <a:fillRect/>
                  </a:stretch>
                </pic:blipFill>
                <pic:spPr>
                  <a:xfrm>
                    <a:off x="0" y="0"/>
                    <a:ext cx="1319530" cy="2000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NjdlOWM1ZjEwZDY3MDRkNDQ3ZDFkNTcwZjhmYTgifQ=="/>
    <w:docVar w:name="KSO_WPS_MARK_KEY" w:val="41a9b3c3-d70c-4a18-88ec-16c25616ac59"/>
  </w:docVars>
  <w:rsids>
    <w:rsidRoot w:val="00172A27"/>
    <w:rsid w:val="00044EF2"/>
    <w:rsid w:val="000F5645"/>
    <w:rsid w:val="00133BFE"/>
    <w:rsid w:val="0018274C"/>
    <w:rsid w:val="001A64C4"/>
    <w:rsid w:val="001C66E0"/>
    <w:rsid w:val="002543C5"/>
    <w:rsid w:val="002C0A1F"/>
    <w:rsid w:val="002C4449"/>
    <w:rsid w:val="002C61F7"/>
    <w:rsid w:val="00327CB1"/>
    <w:rsid w:val="00337586"/>
    <w:rsid w:val="00356803"/>
    <w:rsid w:val="003577A2"/>
    <w:rsid w:val="00382DEE"/>
    <w:rsid w:val="003A0914"/>
    <w:rsid w:val="003C796F"/>
    <w:rsid w:val="00443541"/>
    <w:rsid w:val="00444ACE"/>
    <w:rsid w:val="00445595"/>
    <w:rsid w:val="004672B9"/>
    <w:rsid w:val="00475CDA"/>
    <w:rsid w:val="004C0647"/>
    <w:rsid w:val="005212DA"/>
    <w:rsid w:val="00540D96"/>
    <w:rsid w:val="005F0A73"/>
    <w:rsid w:val="00612345"/>
    <w:rsid w:val="00627E6B"/>
    <w:rsid w:val="00733E26"/>
    <w:rsid w:val="007E4CA5"/>
    <w:rsid w:val="00847DE1"/>
    <w:rsid w:val="008F56F8"/>
    <w:rsid w:val="00A3470B"/>
    <w:rsid w:val="00B97B64"/>
    <w:rsid w:val="00BE1545"/>
    <w:rsid w:val="00BE32F3"/>
    <w:rsid w:val="00C0240D"/>
    <w:rsid w:val="00C34DAD"/>
    <w:rsid w:val="00CA613C"/>
    <w:rsid w:val="00CB5A10"/>
    <w:rsid w:val="00CE1995"/>
    <w:rsid w:val="00CE72AE"/>
    <w:rsid w:val="00DA5C53"/>
    <w:rsid w:val="00E371FE"/>
    <w:rsid w:val="00EB7A6B"/>
    <w:rsid w:val="00FE4037"/>
    <w:rsid w:val="010827C0"/>
    <w:rsid w:val="010D0384"/>
    <w:rsid w:val="010D427B"/>
    <w:rsid w:val="011E39E6"/>
    <w:rsid w:val="01251E99"/>
    <w:rsid w:val="01282E62"/>
    <w:rsid w:val="0129428D"/>
    <w:rsid w:val="012A2737"/>
    <w:rsid w:val="012B64AF"/>
    <w:rsid w:val="012D4559"/>
    <w:rsid w:val="01305281"/>
    <w:rsid w:val="01311D17"/>
    <w:rsid w:val="013B7FED"/>
    <w:rsid w:val="013C06BC"/>
    <w:rsid w:val="013E4434"/>
    <w:rsid w:val="013F3C5D"/>
    <w:rsid w:val="01403DF4"/>
    <w:rsid w:val="014632E9"/>
    <w:rsid w:val="01463C70"/>
    <w:rsid w:val="01472264"/>
    <w:rsid w:val="014A5E2B"/>
    <w:rsid w:val="014B08FF"/>
    <w:rsid w:val="014C25AB"/>
    <w:rsid w:val="015024C4"/>
    <w:rsid w:val="01527EDF"/>
    <w:rsid w:val="0156177E"/>
    <w:rsid w:val="016B70CC"/>
    <w:rsid w:val="0171642D"/>
    <w:rsid w:val="017B5688"/>
    <w:rsid w:val="017D31AE"/>
    <w:rsid w:val="017E5331"/>
    <w:rsid w:val="018067FB"/>
    <w:rsid w:val="018E53BB"/>
    <w:rsid w:val="018F4C90"/>
    <w:rsid w:val="01900369"/>
    <w:rsid w:val="01AC517D"/>
    <w:rsid w:val="01AE77C6"/>
    <w:rsid w:val="01C012ED"/>
    <w:rsid w:val="01C80D4E"/>
    <w:rsid w:val="01C901A1"/>
    <w:rsid w:val="01CF6F0A"/>
    <w:rsid w:val="01D134FA"/>
    <w:rsid w:val="01D731C0"/>
    <w:rsid w:val="01DB6127"/>
    <w:rsid w:val="01E50D53"/>
    <w:rsid w:val="01ED7E75"/>
    <w:rsid w:val="01F2288E"/>
    <w:rsid w:val="01F431A0"/>
    <w:rsid w:val="01FB0577"/>
    <w:rsid w:val="02054F52"/>
    <w:rsid w:val="020D21BB"/>
    <w:rsid w:val="02117D9A"/>
    <w:rsid w:val="02182ED7"/>
    <w:rsid w:val="02187DA0"/>
    <w:rsid w:val="022D3E9F"/>
    <w:rsid w:val="02331ABF"/>
    <w:rsid w:val="023B6BC5"/>
    <w:rsid w:val="023C1459"/>
    <w:rsid w:val="023D46EC"/>
    <w:rsid w:val="023F2212"/>
    <w:rsid w:val="024535A0"/>
    <w:rsid w:val="02467A44"/>
    <w:rsid w:val="02497D3F"/>
    <w:rsid w:val="025B38A8"/>
    <w:rsid w:val="0261662C"/>
    <w:rsid w:val="026A4431"/>
    <w:rsid w:val="026E0D49"/>
    <w:rsid w:val="02714395"/>
    <w:rsid w:val="027345B1"/>
    <w:rsid w:val="027A2514"/>
    <w:rsid w:val="027F7471"/>
    <w:rsid w:val="0287337D"/>
    <w:rsid w:val="02895B83"/>
    <w:rsid w:val="028A5A5F"/>
    <w:rsid w:val="028B18FB"/>
    <w:rsid w:val="028D67D3"/>
    <w:rsid w:val="02922C89"/>
    <w:rsid w:val="02924946"/>
    <w:rsid w:val="029E0E14"/>
    <w:rsid w:val="02A64D86"/>
    <w:rsid w:val="02A9706C"/>
    <w:rsid w:val="02AE7397"/>
    <w:rsid w:val="02B7449E"/>
    <w:rsid w:val="02BE7CD0"/>
    <w:rsid w:val="02C170CB"/>
    <w:rsid w:val="02C83FC1"/>
    <w:rsid w:val="02CD3CC1"/>
    <w:rsid w:val="02CF3E1B"/>
    <w:rsid w:val="02D56124"/>
    <w:rsid w:val="02D908B8"/>
    <w:rsid w:val="02DA4630"/>
    <w:rsid w:val="02DB2946"/>
    <w:rsid w:val="02DF0E65"/>
    <w:rsid w:val="02E1776D"/>
    <w:rsid w:val="02E244CB"/>
    <w:rsid w:val="02EA7AD6"/>
    <w:rsid w:val="02EB4148"/>
    <w:rsid w:val="02F0175E"/>
    <w:rsid w:val="02F05563"/>
    <w:rsid w:val="02F254D6"/>
    <w:rsid w:val="02F94AB6"/>
    <w:rsid w:val="02FE20CD"/>
    <w:rsid w:val="03093C85"/>
    <w:rsid w:val="031018EB"/>
    <w:rsid w:val="03103BAE"/>
    <w:rsid w:val="03186731"/>
    <w:rsid w:val="031B714C"/>
    <w:rsid w:val="031F74DA"/>
    <w:rsid w:val="032558AB"/>
    <w:rsid w:val="032A1114"/>
    <w:rsid w:val="03311987"/>
    <w:rsid w:val="033124A2"/>
    <w:rsid w:val="033330F0"/>
    <w:rsid w:val="033C49A3"/>
    <w:rsid w:val="033F6241"/>
    <w:rsid w:val="0341645D"/>
    <w:rsid w:val="03451AAA"/>
    <w:rsid w:val="03495271"/>
    <w:rsid w:val="034B2E38"/>
    <w:rsid w:val="035364A4"/>
    <w:rsid w:val="03563CB7"/>
    <w:rsid w:val="03600692"/>
    <w:rsid w:val="03631D1E"/>
    <w:rsid w:val="036F2FCB"/>
    <w:rsid w:val="036F3E2C"/>
    <w:rsid w:val="03802AE2"/>
    <w:rsid w:val="0385634A"/>
    <w:rsid w:val="03912F41"/>
    <w:rsid w:val="039943F6"/>
    <w:rsid w:val="03A03184"/>
    <w:rsid w:val="03B863D4"/>
    <w:rsid w:val="03BE360A"/>
    <w:rsid w:val="03BF5D87"/>
    <w:rsid w:val="03C03826"/>
    <w:rsid w:val="03C527A5"/>
    <w:rsid w:val="03C74BB5"/>
    <w:rsid w:val="03D03421"/>
    <w:rsid w:val="03D71CDD"/>
    <w:rsid w:val="03D96696"/>
    <w:rsid w:val="03DE3CAC"/>
    <w:rsid w:val="03E01E2B"/>
    <w:rsid w:val="03E05C76"/>
    <w:rsid w:val="03E312C3"/>
    <w:rsid w:val="03E35AEF"/>
    <w:rsid w:val="03E63D04"/>
    <w:rsid w:val="03FD05D6"/>
    <w:rsid w:val="04012B21"/>
    <w:rsid w:val="0402799B"/>
    <w:rsid w:val="04041965"/>
    <w:rsid w:val="0410030A"/>
    <w:rsid w:val="04205325"/>
    <w:rsid w:val="04206237"/>
    <w:rsid w:val="0422003D"/>
    <w:rsid w:val="042303B3"/>
    <w:rsid w:val="04245B63"/>
    <w:rsid w:val="04293179"/>
    <w:rsid w:val="04410087"/>
    <w:rsid w:val="04425FE9"/>
    <w:rsid w:val="044332CB"/>
    <w:rsid w:val="04455AD9"/>
    <w:rsid w:val="0449381C"/>
    <w:rsid w:val="044B1342"/>
    <w:rsid w:val="04515D8A"/>
    <w:rsid w:val="045A0BC3"/>
    <w:rsid w:val="046C3066"/>
    <w:rsid w:val="046E3282"/>
    <w:rsid w:val="04702B56"/>
    <w:rsid w:val="0484230A"/>
    <w:rsid w:val="04843EA8"/>
    <w:rsid w:val="048830F0"/>
    <w:rsid w:val="048900BC"/>
    <w:rsid w:val="048F7B35"/>
    <w:rsid w:val="04903021"/>
    <w:rsid w:val="049251C3"/>
    <w:rsid w:val="049361BC"/>
    <w:rsid w:val="04943389"/>
    <w:rsid w:val="04943669"/>
    <w:rsid w:val="049A4119"/>
    <w:rsid w:val="049E5D1F"/>
    <w:rsid w:val="04A37BA6"/>
    <w:rsid w:val="04A42800"/>
    <w:rsid w:val="04B14F1D"/>
    <w:rsid w:val="04BD1B14"/>
    <w:rsid w:val="04C55075"/>
    <w:rsid w:val="04C9495C"/>
    <w:rsid w:val="04D70E27"/>
    <w:rsid w:val="04E11CA6"/>
    <w:rsid w:val="04F05A45"/>
    <w:rsid w:val="04F66F6C"/>
    <w:rsid w:val="04FD1ABF"/>
    <w:rsid w:val="050B6D23"/>
    <w:rsid w:val="051554AC"/>
    <w:rsid w:val="051C2CDE"/>
    <w:rsid w:val="052027CE"/>
    <w:rsid w:val="05230EF2"/>
    <w:rsid w:val="052A3888"/>
    <w:rsid w:val="052A53FB"/>
    <w:rsid w:val="052D6C99"/>
    <w:rsid w:val="05323B46"/>
    <w:rsid w:val="053242B0"/>
    <w:rsid w:val="05351C19"/>
    <w:rsid w:val="05355B4E"/>
    <w:rsid w:val="054A63DD"/>
    <w:rsid w:val="05500BDA"/>
    <w:rsid w:val="055446CC"/>
    <w:rsid w:val="05551447"/>
    <w:rsid w:val="0559183C"/>
    <w:rsid w:val="0559547A"/>
    <w:rsid w:val="055C30DB"/>
    <w:rsid w:val="055F2BCB"/>
    <w:rsid w:val="0563090D"/>
    <w:rsid w:val="0565066B"/>
    <w:rsid w:val="056736ED"/>
    <w:rsid w:val="05687CD1"/>
    <w:rsid w:val="05700779"/>
    <w:rsid w:val="057448C8"/>
    <w:rsid w:val="05771B25"/>
    <w:rsid w:val="05786407"/>
    <w:rsid w:val="058A00A9"/>
    <w:rsid w:val="058F525E"/>
    <w:rsid w:val="059C797B"/>
    <w:rsid w:val="05A54A82"/>
    <w:rsid w:val="05AC22B4"/>
    <w:rsid w:val="05B53300"/>
    <w:rsid w:val="05B60A3D"/>
    <w:rsid w:val="05B72A07"/>
    <w:rsid w:val="05BE40FB"/>
    <w:rsid w:val="05C018BB"/>
    <w:rsid w:val="05C0366A"/>
    <w:rsid w:val="05C869C2"/>
    <w:rsid w:val="05CA5990"/>
    <w:rsid w:val="05CF7E3D"/>
    <w:rsid w:val="05D1531A"/>
    <w:rsid w:val="05DB66F5"/>
    <w:rsid w:val="05DE5D29"/>
    <w:rsid w:val="05DE7F94"/>
    <w:rsid w:val="05E41A4E"/>
    <w:rsid w:val="05EA6938"/>
    <w:rsid w:val="05F61781"/>
    <w:rsid w:val="06112117"/>
    <w:rsid w:val="06163BD1"/>
    <w:rsid w:val="061834A6"/>
    <w:rsid w:val="06186459"/>
    <w:rsid w:val="0619380B"/>
    <w:rsid w:val="061E1B96"/>
    <w:rsid w:val="061E6C8C"/>
    <w:rsid w:val="062067FE"/>
    <w:rsid w:val="0622219B"/>
    <w:rsid w:val="063A5C43"/>
    <w:rsid w:val="063A78C0"/>
    <w:rsid w:val="063D75E2"/>
    <w:rsid w:val="064249C6"/>
    <w:rsid w:val="0646056D"/>
    <w:rsid w:val="06461667"/>
    <w:rsid w:val="064A5629"/>
    <w:rsid w:val="064C13A1"/>
    <w:rsid w:val="065344DE"/>
    <w:rsid w:val="06587D46"/>
    <w:rsid w:val="065D535C"/>
    <w:rsid w:val="066F003F"/>
    <w:rsid w:val="06777E49"/>
    <w:rsid w:val="06787E06"/>
    <w:rsid w:val="067B1C86"/>
    <w:rsid w:val="067F1F30"/>
    <w:rsid w:val="068511B0"/>
    <w:rsid w:val="0688001D"/>
    <w:rsid w:val="068E19BA"/>
    <w:rsid w:val="06935222"/>
    <w:rsid w:val="06986394"/>
    <w:rsid w:val="06A26ADE"/>
    <w:rsid w:val="06A2792B"/>
    <w:rsid w:val="06AE5BB8"/>
    <w:rsid w:val="06AE7966"/>
    <w:rsid w:val="06B62CBE"/>
    <w:rsid w:val="06BA630B"/>
    <w:rsid w:val="06BD041F"/>
    <w:rsid w:val="06C929F2"/>
    <w:rsid w:val="06C947A0"/>
    <w:rsid w:val="06D538C3"/>
    <w:rsid w:val="06D922CA"/>
    <w:rsid w:val="06DA4716"/>
    <w:rsid w:val="06DD650A"/>
    <w:rsid w:val="06E8242A"/>
    <w:rsid w:val="06EE2458"/>
    <w:rsid w:val="06EE2FEE"/>
    <w:rsid w:val="070140D7"/>
    <w:rsid w:val="07110D58"/>
    <w:rsid w:val="071A149F"/>
    <w:rsid w:val="071C5217"/>
    <w:rsid w:val="071E2D3E"/>
    <w:rsid w:val="071E4FBC"/>
    <w:rsid w:val="072C7CBE"/>
    <w:rsid w:val="07317A60"/>
    <w:rsid w:val="0734173C"/>
    <w:rsid w:val="073562A7"/>
    <w:rsid w:val="07397B77"/>
    <w:rsid w:val="073C7668"/>
    <w:rsid w:val="074107DA"/>
    <w:rsid w:val="074D3623"/>
    <w:rsid w:val="074D5B0C"/>
    <w:rsid w:val="074D717F"/>
    <w:rsid w:val="07526829"/>
    <w:rsid w:val="07563646"/>
    <w:rsid w:val="07594DD3"/>
    <w:rsid w:val="076803F1"/>
    <w:rsid w:val="076B641C"/>
    <w:rsid w:val="076D15CF"/>
    <w:rsid w:val="076D5A73"/>
    <w:rsid w:val="077961C6"/>
    <w:rsid w:val="077E37DC"/>
    <w:rsid w:val="078766FD"/>
    <w:rsid w:val="07893B18"/>
    <w:rsid w:val="078B1060"/>
    <w:rsid w:val="078F59E9"/>
    <w:rsid w:val="078F5EA8"/>
    <w:rsid w:val="07941252"/>
    <w:rsid w:val="079D36B2"/>
    <w:rsid w:val="07A07BF6"/>
    <w:rsid w:val="07A76C22"/>
    <w:rsid w:val="07BC60B3"/>
    <w:rsid w:val="07DC5543"/>
    <w:rsid w:val="07DF757F"/>
    <w:rsid w:val="07E01DA1"/>
    <w:rsid w:val="07E4781F"/>
    <w:rsid w:val="07EA67A1"/>
    <w:rsid w:val="07ED44BE"/>
    <w:rsid w:val="07ED7C6D"/>
    <w:rsid w:val="07F12200"/>
    <w:rsid w:val="07F4584C"/>
    <w:rsid w:val="07F93F23"/>
    <w:rsid w:val="07FC0BA5"/>
    <w:rsid w:val="080D74CB"/>
    <w:rsid w:val="081128A2"/>
    <w:rsid w:val="081445AE"/>
    <w:rsid w:val="081D6259"/>
    <w:rsid w:val="08275C22"/>
    <w:rsid w:val="082E1370"/>
    <w:rsid w:val="083714E7"/>
    <w:rsid w:val="083F3A9B"/>
    <w:rsid w:val="08422A5C"/>
    <w:rsid w:val="08485B98"/>
    <w:rsid w:val="084A0BAD"/>
    <w:rsid w:val="085F4733"/>
    <w:rsid w:val="086724C2"/>
    <w:rsid w:val="0869448C"/>
    <w:rsid w:val="0869623A"/>
    <w:rsid w:val="086B2EB8"/>
    <w:rsid w:val="087A1F0C"/>
    <w:rsid w:val="087F0F2D"/>
    <w:rsid w:val="08882010"/>
    <w:rsid w:val="08886B31"/>
    <w:rsid w:val="08931509"/>
    <w:rsid w:val="08940DDD"/>
    <w:rsid w:val="089B216C"/>
    <w:rsid w:val="08A059D4"/>
    <w:rsid w:val="08A13A34"/>
    <w:rsid w:val="08A75B80"/>
    <w:rsid w:val="08AC6D8D"/>
    <w:rsid w:val="08AF79C5"/>
    <w:rsid w:val="08B07800"/>
    <w:rsid w:val="08BE0099"/>
    <w:rsid w:val="08C05454"/>
    <w:rsid w:val="08C23B9D"/>
    <w:rsid w:val="08C54609"/>
    <w:rsid w:val="08C711B3"/>
    <w:rsid w:val="08C86ABC"/>
    <w:rsid w:val="08CC67C9"/>
    <w:rsid w:val="08CF1E16"/>
    <w:rsid w:val="08D21B08"/>
    <w:rsid w:val="08D35DAA"/>
    <w:rsid w:val="08DB1887"/>
    <w:rsid w:val="08DC4C5E"/>
    <w:rsid w:val="08DF418B"/>
    <w:rsid w:val="08E66B26"/>
    <w:rsid w:val="08EC0C19"/>
    <w:rsid w:val="08ED6076"/>
    <w:rsid w:val="0902043D"/>
    <w:rsid w:val="09023F99"/>
    <w:rsid w:val="0908086E"/>
    <w:rsid w:val="09095327"/>
    <w:rsid w:val="090A12E5"/>
    <w:rsid w:val="090F3097"/>
    <w:rsid w:val="091343F8"/>
    <w:rsid w:val="091837BC"/>
    <w:rsid w:val="092A537F"/>
    <w:rsid w:val="092A57F7"/>
    <w:rsid w:val="0931751B"/>
    <w:rsid w:val="093323A4"/>
    <w:rsid w:val="0935611C"/>
    <w:rsid w:val="09383E5F"/>
    <w:rsid w:val="093920B1"/>
    <w:rsid w:val="094E71DE"/>
    <w:rsid w:val="095019FF"/>
    <w:rsid w:val="09532A47"/>
    <w:rsid w:val="09534F5C"/>
    <w:rsid w:val="095962AF"/>
    <w:rsid w:val="095C51F4"/>
    <w:rsid w:val="095C5D9F"/>
    <w:rsid w:val="09664528"/>
    <w:rsid w:val="096C5132"/>
    <w:rsid w:val="096E0154"/>
    <w:rsid w:val="096F639D"/>
    <w:rsid w:val="0978425B"/>
    <w:rsid w:val="09826A7A"/>
    <w:rsid w:val="098E3A7F"/>
    <w:rsid w:val="099F20DD"/>
    <w:rsid w:val="099F65CA"/>
    <w:rsid w:val="09A017D8"/>
    <w:rsid w:val="09A84B40"/>
    <w:rsid w:val="09A901BC"/>
    <w:rsid w:val="09AC5238"/>
    <w:rsid w:val="09B554AF"/>
    <w:rsid w:val="09BA7A15"/>
    <w:rsid w:val="09BB0D18"/>
    <w:rsid w:val="09BB5885"/>
    <w:rsid w:val="09BC05EC"/>
    <w:rsid w:val="09C474A0"/>
    <w:rsid w:val="09C67499"/>
    <w:rsid w:val="09D75426"/>
    <w:rsid w:val="09DE4A06"/>
    <w:rsid w:val="09DE67B4"/>
    <w:rsid w:val="09E6293A"/>
    <w:rsid w:val="09E65669"/>
    <w:rsid w:val="09EC0555"/>
    <w:rsid w:val="09EC7123"/>
    <w:rsid w:val="09EF276F"/>
    <w:rsid w:val="09F064E7"/>
    <w:rsid w:val="09F47D86"/>
    <w:rsid w:val="09F9539C"/>
    <w:rsid w:val="0A00672A"/>
    <w:rsid w:val="0A136F96"/>
    <w:rsid w:val="0A136FFD"/>
    <w:rsid w:val="0A1B7A08"/>
    <w:rsid w:val="0A1C108A"/>
    <w:rsid w:val="0A232D82"/>
    <w:rsid w:val="0A261F09"/>
    <w:rsid w:val="0A312260"/>
    <w:rsid w:val="0A330BD9"/>
    <w:rsid w:val="0A36068A"/>
    <w:rsid w:val="0A3D0C48"/>
    <w:rsid w:val="0A570314"/>
    <w:rsid w:val="0A5E7D79"/>
    <w:rsid w:val="0A6A0048"/>
    <w:rsid w:val="0A6B60F6"/>
    <w:rsid w:val="0A724F69"/>
    <w:rsid w:val="0A7B4003"/>
    <w:rsid w:val="0A8729A8"/>
    <w:rsid w:val="0A88778E"/>
    <w:rsid w:val="0A8F1ADF"/>
    <w:rsid w:val="0A922957"/>
    <w:rsid w:val="0A924546"/>
    <w:rsid w:val="0A951569"/>
    <w:rsid w:val="0A9B3379"/>
    <w:rsid w:val="0A9C6D0E"/>
    <w:rsid w:val="0A9D03F6"/>
    <w:rsid w:val="0AA25921"/>
    <w:rsid w:val="0AA96DC2"/>
    <w:rsid w:val="0AAA6944"/>
    <w:rsid w:val="0AAB635E"/>
    <w:rsid w:val="0AB73882"/>
    <w:rsid w:val="0AB75780"/>
    <w:rsid w:val="0AB80DB3"/>
    <w:rsid w:val="0ABD5AD4"/>
    <w:rsid w:val="0AC736EC"/>
    <w:rsid w:val="0ACA52CD"/>
    <w:rsid w:val="0ACB4F8A"/>
    <w:rsid w:val="0AD76FA7"/>
    <w:rsid w:val="0ADF454E"/>
    <w:rsid w:val="0AE61EF7"/>
    <w:rsid w:val="0AE918B4"/>
    <w:rsid w:val="0AE93662"/>
    <w:rsid w:val="0AF0679F"/>
    <w:rsid w:val="0AF52007"/>
    <w:rsid w:val="0AFB1087"/>
    <w:rsid w:val="0B0126DC"/>
    <w:rsid w:val="0B1756C0"/>
    <w:rsid w:val="0B1D330C"/>
    <w:rsid w:val="0B21104E"/>
    <w:rsid w:val="0B2226D0"/>
    <w:rsid w:val="0B27418B"/>
    <w:rsid w:val="0B2823DD"/>
    <w:rsid w:val="0B304DED"/>
    <w:rsid w:val="0B324867"/>
    <w:rsid w:val="0B3643CE"/>
    <w:rsid w:val="0B372620"/>
    <w:rsid w:val="0B392A21"/>
    <w:rsid w:val="0B3A7C9B"/>
    <w:rsid w:val="0B3D750A"/>
    <w:rsid w:val="0B416FFB"/>
    <w:rsid w:val="0B420FC5"/>
    <w:rsid w:val="0B48482D"/>
    <w:rsid w:val="0B4C33FA"/>
    <w:rsid w:val="0B5605CC"/>
    <w:rsid w:val="0B5807E8"/>
    <w:rsid w:val="0B597A11"/>
    <w:rsid w:val="0B62362C"/>
    <w:rsid w:val="0B626F71"/>
    <w:rsid w:val="0B6749EC"/>
    <w:rsid w:val="0B7216D3"/>
    <w:rsid w:val="0B772A1C"/>
    <w:rsid w:val="0B78325C"/>
    <w:rsid w:val="0B7A69B0"/>
    <w:rsid w:val="0B7C6285"/>
    <w:rsid w:val="0B867103"/>
    <w:rsid w:val="0B955598"/>
    <w:rsid w:val="0B96019A"/>
    <w:rsid w:val="0B9D3766"/>
    <w:rsid w:val="0BA8707A"/>
    <w:rsid w:val="0BAE0408"/>
    <w:rsid w:val="0BB31750"/>
    <w:rsid w:val="0BB579E9"/>
    <w:rsid w:val="0BB84DE3"/>
    <w:rsid w:val="0BBC2B25"/>
    <w:rsid w:val="0BC112F4"/>
    <w:rsid w:val="0BD51943"/>
    <w:rsid w:val="0BD53BE7"/>
    <w:rsid w:val="0BD86A33"/>
    <w:rsid w:val="0BD9237C"/>
    <w:rsid w:val="0BDA1304"/>
    <w:rsid w:val="0BDA7DFE"/>
    <w:rsid w:val="0BE34556"/>
    <w:rsid w:val="0BE856C8"/>
    <w:rsid w:val="0BEA58E4"/>
    <w:rsid w:val="0BEB51B8"/>
    <w:rsid w:val="0BEC15C3"/>
    <w:rsid w:val="0BF00A21"/>
    <w:rsid w:val="0BF202F5"/>
    <w:rsid w:val="0BF55B23"/>
    <w:rsid w:val="0BF70001"/>
    <w:rsid w:val="0BFA53FB"/>
    <w:rsid w:val="0BFC1173"/>
    <w:rsid w:val="0C031B6A"/>
    <w:rsid w:val="0C0A7D34"/>
    <w:rsid w:val="0C0D3381"/>
    <w:rsid w:val="0C112801"/>
    <w:rsid w:val="0C152235"/>
    <w:rsid w:val="0C25027D"/>
    <w:rsid w:val="0C2C2E32"/>
    <w:rsid w:val="0C317404"/>
    <w:rsid w:val="0C3628D7"/>
    <w:rsid w:val="0C580AA0"/>
    <w:rsid w:val="0C684A5B"/>
    <w:rsid w:val="0C700313"/>
    <w:rsid w:val="0C7358DA"/>
    <w:rsid w:val="0C743400"/>
    <w:rsid w:val="0C7A73D4"/>
    <w:rsid w:val="0C7B478E"/>
    <w:rsid w:val="0C7D22B4"/>
    <w:rsid w:val="0C807E08"/>
    <w:rsid w:val="0C831895"/>
    <w:rsid w:val="0C9061EA"/>
    <w:rsid w:val="0CA30B98"/>
    <w:rsid w:val="0CA51870"/>
    <w:rsid w:val="0CAE6912"/>
    <w:rsid w:val="0CAF61E6"/>
    <w:rsid w:val="0CB70E7D"/>
    <w:rsid w:val="0CB87790"/>
    <w:rsid w:val="0CBD6B55"/>
    <w:rsid w:val="0CC52BE0"/>
    <w:rsid w:val="0CD84241"/>
    <w:rsid w:val="0CDB347F"/>
    <w:rsid w:val="0CE17229"/>
    <w:rsid w:val="0CE56170"/>
    <w:rsid w:val="0CEC11E8"/>
    <w:rsid w:val="0CF361A9"/>
    <w:rsid w:val="0CFA54CF"/>
    <w:rsid w:val="0D003464"/>
    <w:rsid w:val="0D0A17F5"/>
    <w:rsid w:val="0D0D3A6A"/>
    <w:rsid w:val="0D0E5602"/>
    <w:rsid w:val="0D0E73B0"/>
    <w:rsid w:val="0D14588D"/>
    <w:rsid w:val="0D3112F1"/>
    <w:rsid w:val="0D35493D"/>
    <w:rsid w:val="0D38267F"/>
    <w:rsid w:val="0D413D61"/>
    <w:rsid w:val="0D41564C"/>
    <w:rsid w:val="0D4252AC"/>
    <w:rsid w:val="0D5172F4"/>
    <w:rsid w:val="0D533465"/>
    <w:rsid w:val="0D554801"/>
    <w:rsid w:val="0D6B035F"/>
    <w:rsid w:val="0D7B37C4"/>
    <w:rsid w:val="0D854AC8"/>
    <w:rsid w:val="0D86443A"/>
    <w:rsid w:val="0D8B6C53"/>
    <w:rsid w:val="0D951880"/>
    <w:rsid w:val="0DA41B83"/>
    <w:rsid w:val="0DAA713B"/>
    <w:rsid w:val="0DAB2E51"/>
    <w:rsid w:val="0DAB4BFF"/>
    <w:rsid w:val="0DAE2303"/>
    <w:rsid w:val="0DB8556E"/>
    <w:rsid w:val="0DC108C7"/>
    <w:rsid w:val="0DC13B67"/>
    <w:rsid w:val="0DC363ED"/>
    <w:rsid w:val="0DC40142"/>
    <w:rsid w:val="0DC67C8B"/>
    <w:rsid w:val="0DC7755F"/>
    <w:rsid w:val="0DCC56A5"/>
    <w:rsid w:val="0DD11E2B"/>
    <w:rsid w:val="0DD667C6"/>
    <w:rsid w:val="0DD730D3"/>
    <w:rsid w:val="0DD84FC2"/>
    <w:rsid w:val="0DE34399"/>
    <w:rsid w:val="0DE46363"/>
    <w:rsid w:val="0DE93979"/>
    <w:rsid w:val="0DEB76F2"/>
    <w:rsid w:val="0DF26CD2"/>
    <w:rsid w:val="0DF73871"/>
    <w:rsid w:val="0DFA16E3"/>
    <w:rsid w:val="0DFD7F8D"/>
    <w:rsid w:val="0E0D58BA"/>
    <w:rsid w:val="0E0D7668"/>
    <w:rsid w:val="0E0F0EA8"/>
    <w:rsid w:val="0E1053AA"/>
    <w:rsid w:val="0E1E1875"/>
    <w:rsid w:val="0E2963C9"/>
    <w:rsid w:val="0E2B3F92"/>
    <w:rsid w:val="0E2E544B"/>
    <w:rsid w:val="0E302745"/>
    <w:rsid w:val="0E3F3599"/>
    <w:rsid w:val="0E462B7A"/>
    <w:rsid w:val="0E4B0190"/>
    <w:rsid w:val="0E522245"/>
    <w:rsid w:val="0E576B35"/>
    <w:rsid w:val="0E5E489C"/>
    <w:rsid w:val="0E63372C"/>
    <w:rsid w:val="0E721BC1"/>
    <w:rsid w:val="0E794CFD"/>
    <w:rsid w:val="0E7E2314"/>
    <w:rsid w:val="0E83792A"/>
    <w:rsid w:val="0E910299"/>
    <w:rsid w:val="0E947D89"/>
    <w:rsid w:val="0E9D3017"/>
    <w:rsid w:val="0E9D4E90"/>
    <w:rsid w:val="0EA0672E"/>
    <w:rsid w:val="0EA26A95"/>
    <w:rsid w:val="0EAF0988"/>
    <w:rsid w:val="0EB06AFF"/>
    <w:rsid w:val="0EB67D00"/>
    <w:rsid w:val="0EB977F0"/>
    <w:rsid w:val="0EBA5B2B"/>
    <w:rsid w:val="0EBD2E3C"/>
    <w:rsid w:val="0ECF4419"/>
    <w:rsid w:val="0ED308B1"/>
    <w:rsid w:val="0ED62150"/>
    <w:rsid w:val="0EDC703A"/>
    <w:rsid w:val="0EE303C9"/>
    <w:rsid w:val="0EE65127"/>
    <w:rsid w:val="0EE8142C"/>
    <w:rsid w:val="0EF56D77"/>
    <w:rsid w:val="0F0528B4"/>
    <w:rsid w:val="0F055BCD"/>
    <w:rsid w:val="0F0740B7"/>
    <w:rsid w:val="0F08104A"/>
    <w:rsid w:val="0F1C30A8"/>
    <w:rsid w:val="0F1F3AF7"/>
    <w:rsid w:val="0F20211F"/>
    <w:rsid w:val="0F2A0715"/>
    <w:rsid w:val="0F3330FE"/>
    <w:rsid w:val="0F334EAC"/>
    <w:rsid w:val="0F3D1F95"/>
    <w:rsid w:val="0F4075C9"/>
    <w:rsid w:val="0F416A27"/>
    <w:rsid w:val="0F4A4C44"/>
    <w:rsid w:val="0F515FDF"/>
    <w:rsid w:val="0F544B86"/>
    <w:rsid w:val="0F5C08A7"/>
    <w:rsid w:val="0F646881"/>
    <w:rsid w:val="0F6550F9"/>
    <w:rsid w:val="0F6B0F34"/>
    <w:rsid w:val="0F76748F"/>
    <w:rsid w:val="0F7756E1"/>
    <w:rsid w:val="0F790C49"/>
    <w:rsid w:val="0F7B6853"/>
    <w:rsid w:val="0F81030D"/>
    <w:rsid w:val="0F87169C"/>
    <w:rsid w:val="0F9242C9"/>
    <w:rsid w:val="0F9258E4"/>
    <w:rsid w:val="0F957915"/>
    <w:rsid w:val="0F975DB1"/>
    <w:rsid w:val="0F9E5886"/>
    <w:rsid w:val="0F9F6365"/>
    <w:rsid w:val="0FA32BF3"/>
    <w:rsid w:val="0FA45DAA"/>
    <w:rsid w:val="0FB75ADD"/>
    <w:rsid w:val="0FBD342A"/>
    <w:rsid w:val="0FC92877"/>
    <w:rsid w:val="0FCB3337"/>
    <w:rsid w:val="0FCE1079"/>
    <w:rsid w:val="0FD0094D"/>
    <w:rsid w:val="0FD04DF1"/>
    <w:rsid w:val="0FD11C45"/>
    <w:rsid w:val="0FD46A59"/>
    <w:rsid w:val="0FD61CDB"/>
    <w:rsid w:val="0FD91EF8"/>
    <w:rsid w:val="0FDA17CC"/>
    <w:rsid w:val="0FDC19E8"/>
    <w:rsid w:val="0FE60171"/>
    <w:rsid w:val="0FEA322F"/>
    <w:rsid w:val="0FEB39D9"/>
    <w:rsid w:val="0FEF171B"/>
    <w:rsid w:val="0FF00FEF"/>
    <w:rsid w:val="0FF02D9D"/>
    <w:rsid w:val="0FF20115"/>
    <w:rsid w:val="0FF24D67"/>
    <w:rsid w:val="0FF860F6"/>
    <w:rsid w:val="0FFE195E"/>
    <w:rsid w:val="100055A5"/>
    <w:rsid w:val="10052457"/>
    <w:rsid w:val="100C3C0C"/>
    <w:rsid w:val="10111AED"/>
    <w:rsid w:val="101626F1"/>
    <w:rsid w:val="10291224"/>
    <w:rsid w:val="102E1B18"/>
    <w:rsid w:val="1030260C"/>
    <w:rsid w:val="103435D2"/>
    <w:rsid w:val="103B4960"/>
    <w:rsid w:val="103B70AE"/>
    <w:rsid w:val="104B091B"/>
    <w:rsid w:val="104E4A31"/>
    <w:rsid w:val="105570A4"/>
    <w:rsid w:val="10594DE6"/>
    <w:rsid w:val="10613C9B"/>
    <w:rsid w:val="10615A49"/>
    <w:rsid w:val="106D42C0"/>
    <w:rsid w:val="107B4D5D"/>
    <w:rsid w:val="108F6A5A"/>
    <w:rsid w:val="109202F8"/>
    <w:rsid w:val="109220A6"/>
    <w:rsid w:val="10956A95"/>
    <w:rsid w:val="10974FCD"/>
    <w:rsid w:val="10A4325A"/>
    <w:rsid w:val="10A75C36"/>
    <w:rsid w:val="10AA5642"/>
    <w:rsid w:val="10AD0C65"/>
    <w:rsid w:val="10AE2011"/>
    <w:rsid w:val="10B1077E"/>
    <w:rsid w:val="10B14F4F"/>
    <w:rsid w:val="10C3137A"/>
    <w:rsid w:val="10C36704"/>
    <w:rsid w:val="10C5247C"/>
    <w:rsid w:val="10C61D50"/>
    <w:rsid w:val="10C81F6C"/>
    <w:rsid w:val="10CE2C61"/>
    <w:rsid w:val="10D0547A"/>
    <w:rsid w:val="10D50A7C"/>
    <w:rsid w:val="10D55CE9"/>
    <w:rsid w:val="10D73F5D"/>
    <w:rsid w:val="10D91A83"/>
    <w:rsid w:val="10E00EC0"/>
    <w:rsid w:val="10E70644"/>
    <w:rsid w:val="10E87F18"/>
    <w:rsid w:val="10E96744"/>
    <w:rsid w:val="10EF231B"/>
    <w:rsid w:val="10F040B0"/>
    <w:rsid w:val="10F845FF"/>
    <w:rsid w:val="10F90377"/>
    <w:rsid w:val="10FD716C"/>
    <w:rsid w:val="11026E77"/>
    <w:rsid w:val="110411F6"/>
    <w:rsid w:val="110412EE"/>
    <w:rsid w:val="11052AC8"/>
    <w:rsid w:val="11074842"/>
    <w:rsid w:val="110A7E8F"/>
    <w:rsid w:val="110C1E59"/>
    <w:rsid w:val="110F618C"/>
    <w:rsid w:val="11113CCE"/>
    <w:rsid w:val="11290C5D"/>
    <w:rsid w:val="1129733C"/>
    <w:rsid w:val="113066C1"/>
    <w:rsid w:val="113113B2"/>
    <w:rsid w:val="11345817"/>
    <w:rsid w:val="11366ED6"/>
    <w:rsid w:val="1137024E"/>
    <w:rsid w:val="113B44EC"/>
    <w:rsid w:val="114C66F9"/>
    <w:rsid w:val="114E421F"/>
    <w:rsid w:val="115033C3"/>
    <w:rsid w:val="116E148C"/>
    <w:rsid w:val="116E3216"/>
    <w:rsid w:val="1189360B"/>
    <w:rsid w:val="11934328"/>
    <w:rsid w:val="119F2CCD"/>
    <w:rsid w:val="11A71B81"/>
    <w:rsid w:val="11A97054"/>
    <w:rsid w:val="11AB78C4"/>
    <w:rsid w:val="11B5604C"/>
    <w:rsid w:val="11BD3153"/>
    <w:rsid w:val="11C101AE"/>
    <w:rsid w:val="11C26472"/>
    <w:rsid w:val="11C65FEE"/>
    <w:rsid w:val="11CB5870"/>
    <w:rsid w:val="11D16BFE"/>
    <w:rsid w:val="11D47836"/>
    <w:rsid w:val="11D5049D"/>
    <w:rsid w:val="11E64458"/>
    <w:rsid w:val="11F27423"/>
    <w:rsid w:val="11F41C82"/>
    <w:rsid w:val="120604F9"/>
    <w:rsid w:val="120D40DA"/>
    <w:rsid w:val="12105979"/>
    <w:rsid w:val="12107727"/>
    <w:rsid w:val="121D08C8"/>
    <w:rsid w:val="121F3E0E"/>
    <w:rsid w:val="1225307D"/>
    <w:rsid w:val="12282CC2"/>
    <w:rsid w:val="12296A3A"/>
    <w:rsid w:val="122D02D9"/>
    <w:rsid w:val="122D0B62"/>
    <w:rsid w:val="122E0441"/>
    <w:rsid w:val="122E72E0"/>
    <w:rsid w:val="123258EF"/>
    <w:rsid w:val="12331667"/>
    <w:rsid w:val="12374699"/>
    <w:rsid w:val="12394ECF"/>
    <w:rsid w:val="124473D0"/>
    <w:rsid w:val="12492C39"/>
    <w:rsid w:val="124949E7"/>
    <w:rsid w:val="12541CFA"/>
    <w:rsid w:val="1255782F"/>
    <w:rsid w:val="12616D32"/>
    <w:rsid w:val="12661A3D"/>
    <w:rsid w:val="126B7053"/>
    <w:rsid w:val="126F15CC"/>
    <w:rsid w:val="127001C5"/>
    <w:rsid w:val="127203E1"/>
    <w:rsid w:val="127759F8"/>
    <w:rsid w:val="127E3DE4"/>
    <w:rsid w:val="127F0CDB"/>
    <w:rsid w:val="128079A9"/>
    <w:rsid w:val="128A74D9"/>
    <w:rsid w:val="128D0D77"/>
    <w:rsid w:val="12940A0D"/>
    <w:rsid w:val="12972203"/>
    <w:rsid w:val="129A57C7"/>
    <w:rsid w:val="129E2F84"/>
    <w:rsid w:val="12A10CC7"/>
    <w:rsid w:val="12A271BB"/>
    <w:rsid w:val="12B42CC1"/>
    <w:rsid w:val="12BA284A"/>
    <w:rsid w:val="12BC165D"/>
    <w:rsid w:val="12BF15E3"/>
    <w:rsid w:val="12C624DB"/>
    <w:rsid w:val="12CF6372"/>
    <w:rsid w:val="12D04C70"/>
    <w:rsid w:val="12D22C2E"/>
    <w:rsid w:val="12D6271E"/>
    <w:rsid w:val="12EB3CF0"/>
    <w:rsid w:val="12F26E2C"/>
    <w:rsid w:val="13025777"/>
    <w:rsid w:val="13053004"/>
    <w:rsid w:val="13084DE5"/>
    <w:rsid w:val="130A23C8"/>
    <w:rsid w:val="130B7EEE"/>
    <w:rsid w:val="13125500"/>
    <w:rsid w:val="13137A45"/>
    <w:rsid w:val="13141D5A"/>
    <w:rsid w:val="13144FF5"/>
    <w:rsid w:val="13191A65"/>
    <w:rsid w:val="131B4645"/>
    <w:rsid w:val="131B5C57"/>
    <w:rsid w:val="131C20FB"/>
    <w:rsid w:val="131E2317"/>
    <w:rsid w:val="132316DC"/>
    <w:rsid w:val="13250FB0"/>
    <w:rsid w:val="13274D28"/>
    <w:rsid w:val="133438E9"/>
    <w:rsid w:val="13386F35"/>
    <w:rsid w:val="13405DEA"/>
    <w:rsid w:val="134C0C32"/>
    <w:rsid w:val="134C29E0"/>
    <w:rsid w:val="13510A26"/>
    <w:rsid w:val="13531C9C"/>
    <w:rsid w:val="13540CE3"/>
    <w:rsid w:val="135D4C39"/>
    <w:rsid w:val="13642DDD"/>
    <w:rsid w:val="13692093"/>
    <w:rsid w:val="136A2E67"/>
    <w:rsid w:val="136A730B"/>
    <w:rsid w:val="136F13DE"/>
    <w:rsid w:val="137606EA"/>
    <w:rsid w:val="137B3E5E"/>
    <w:rsid w:val="137F2DB6"/>
    <w:rsid w:val="13854144"/>
    <w:rsid w:val="13887774"/>
    <w:rsid w:val="13901E1C"/>
    <w:rsid w:val="139323BD"/>
    <w:rsid w:val="13953D1C"/>
    <w:rsid w:val="1395444A"/>
    <w:rsid w:val="13960100"/>
    <w:rsid w:val="139A4983"/>
    <w:rsid w:val="13A31B9A"/>
    <w:rsid w:val="13AB626E"/>
    <w:rsid w:val="13AD183D"/>
    <w:rsid w:val="13AE5449"/>
    <w:rsid w:val="13C06F2A"/>
    <w:rsid w:val="13C92283"/>
    <w:rsid w:val="13C94031"/>
    <w:rsid w:val="13DB5B12"/>
    <w:rsid w:val="13DE1009"/>
    <w:rsid w:val="13E42C19"/>
    <w:rsid w:val="14060DE1"/>
    <w:rsid w:val="14074B59"/>
    <w:rsid w:val="14101C60"/>
    <w:rsid w:val="141B2394"/>
    <w:rsid w:val="141C0605"/>
    <w:rsid w:val="142314B2"/>
    <w:rsid w:val="14290F74"/>
    <w:rsid w:val="14347C33"/>
    <w:rsid w:val="143811B7"/>
    <w:rsid w:val="143D67CD"/>
    <w:rsid w:val="145A2EDB"/>
    <w:rsid w:val="14634486"/>
    <w:rsid w:val="14643D5A"/>
    <w:rsid w:val="146D70B2"/>
    <w:rsid w:val="146E6986"/>
    <w:rsid w:val="147815B3"/>
    <w:rsid w:val="147F0B94"/>
    <w:rsid w:val="14827D32"/>
    <w:rsid w:val="1487194A"/>
    <w:rsid w:val="14887A48"/>
    <w:rsid w:val="148971D0"/>
    <w:rsid w:val="14A14FAE"/>
    <w:rsid w:val="14A44DFE"/>
    <w:rsid w:val="14BA1BCC"/>
    <w:rsid w:val="14C111AC"/>
    <w:rsid w:val="14C36CD2"/>
    <w:rsid w:val="14D233B9"/>
    <w:rsid w:val="14D62EA9"/>
    <w:rsid w:val="14DA475B"/>
    <w:rsid w:val="14DE7FCA"/>
    <w:rsid w:val="14E80DA7"/>
    <w:rsid w:val="14E867DD"/>
    <w:rsid w:val="14F275B8"/>
    <w:rsid w:val="14F96B98"/>
    <w:rsid w:val="150125A2"/>
    <w:rsid w:val="150177FB"/>
    <w:rsid w:val="150317C5"/>
    <w:rsid w:val="150505A4"/>
    <w:rsid w:val="150C375D"/>
    <w:rsid w:val="151F1CCD"/>
    <w:rsid w:val="1521507E"/>
    <w:rsid w:val="15267261"/>
    <w:rsid w:val="15300FB2"/>
    <w:rsid w:val="153237EB"/>
    <w:rsid w:val="15357D28"/>
    <w:rsid w:val="15400C78"/>
    <w:rsid w:val="154445A7"/>
    <w:rsid w:val="15455939"/>
    <w:rsid w:val="15456B76"/>
    <w:rsid w:val="15477903"/>
    <w:rsid w:val="154A0419"/>
    <w:rsid w:val="154E6181"/>
    <w:rsid w:val="15532C0C"/>
    <w:rsid w:val="1559625C"/>
    <w:rsid w:val="15597637"/>
    <w:rsid w:val="155E69FB"/>
    <w:rsid w:val="15621F3B"/>
    <w:rsid w:val="156E30E2"/>
    <w:rsid w:val="15703208"/>
    <w:rsid w:val="15747FCD"/>
    <w:rsid w:val="157B57FF"/>
    <w:rsid w:val="15807C55"/>
    <w:rsid w:val="15916DD0"/>
    <w:rsid w:val="159468C1"/>
    <w:rsid w:val="159863B1"/>
    <w:rsid w:val="15A13A09"/>
    <w:rsid w:val="15AC3C0A"/>
    <w:rsid w:val="15C42D02"/>
    <w:rsid w:val="15C5475E"/>
    <w:rsid w:val="15D241DC"/>
    <w:rsid w:val="15D54F0F"/>
    <w:rsid w:val="15E213BE"/>
    <w:rsid w:val="15E6711C"/>
    <w:rsid w:val="15E80478"/>
    <w:rsid w:val="15ED6C4C"/>
    <w:rsid w:val="15EE7D7F"/>
    <w:rsid w:val="15EF24B9"/>
    <w:rsid w:val="16021A7C"/>
    <w:rsid w:val="16037773"/>
    <w:rsid w:val="1604242C"/>
    <w:rsid w:val="160E0421"/>
    <w:rsid w:val="161810CD"/>
    <w:rsid w:val="161B669A"/>
    <w:rsid w:val="16210154"/>
    <w:rsid w:val="16273291"/>
    <w:rsid w:val="16454D01"/>
    <w:rsid w:val="165247B2"/>
    <w:rsid w:val="16581EB6"/>
    <w:rsid w:val="16585B40"/>
    <w:rsid w:val="1659407E"/>
    <w:rsid w:val="165E4F6A"/>
    <w:rsid w:val="1666025D"/>
    <w:rsid w:val="166F0ADB"/>
    <w:rsid w:val="167E0242"/>
    <w:rsid w:val="167F30CD"/>
    <w:rsid w:val="16815279"/>
    <w:rsid w:val="168C1346"/>
    <w:rsid w:val="16911A59"/>
    <w:rsid w:val="169923E1"/>
    <w:rsid w:val="169A1CB5"/>
    <w:rsid w:val="16A4319C"/>
    <w:rsid w:val="16AD7C3A"/>
    <w:rsid w:val="16B70AB9"/>
    <w:rsid w:val="16C821DA"/>
    <w:rsid w:val="16C94348"/>
    <w:rsid w:val="16D1385D"/>
    <w:rsid w:val="16D74CB7"/>
    <w:rsid w:val="16E66CA8"/>
    <w:rsid w:val="16EA2C3C"/>
    <w:rsid w:val="16EF0253"/>
    <w:rsid w:val="16F413C5"/>
    <w:rsid w:val="16FA09A5"/>
    <w:rsid w:val="16FE3FF2"/>
    <w:rsid w:val="17011D34"/>
    <w:rsid w:val="17075A4D"/>
    <w:rsid w:val="1711641B"/>
    <w:rsid w:val="17190E2C"/>
    <w:rsid w:val="171A2DF2"/>
    <w:rsid w:val="17231CAA"/>
    <w:rsid w:val="1728413E"/>
    <w:rsid w:val="17285513"/>
    <w:rsid w:val="172872C1"/>
    <w:rsid w:val="17306175"/>
    <w:rsid w:val="1731763D"/>
    <w:rsid w:val="17356A84"/>
    <w:rsid w:val="17410382"/>
    <w:rsid w:val="17451C21"/>
    <w:rsid w:val="17485042"/>
    <w:rsid w:val="174A5489"/>
    <w:rsid w:val="174E2EB7"/>
    <w:rsid w:val="175506FB"/>
    <w:rsid w:val="17577BA6"/>
    <w:rsid w:val="17672BAF"/>
    <w:rsid w:val="1776002C"/>
    <w:rsid w:val="17786F9D"/>
    <w:rsid w:val="1781766E"/>
    <w:rsid w:val="1796247C"/>
    <w:rsid w:val="17A13152"/>
    <w:rsid w:val="17A64281"/>
    <w:rsid w:val="17A76437"/>
    <w:rsid w:val="17B46DA6"/>
    <w:rsid w:val="17C3523B"/>
    <w:rsid w:val="17C92852"/>
    <w:rsid w:val="17CF1E32"/>
    <w:rsid w:val="17D411F6"/>
    <w:rsid w:val="17D50129"/>
    <w:rsid w:val="17D86AB4"/>
    <w:rsid w:val="17D905BB"/>
    <w:rsid w:val="17DC670A"/>
    <w:rsid w:val="17DE3E23"/>
    <w:rsid w:val="17E958DC"/>
    <w:rsid w:val="17EF0CD3"/>
    <w:rsid w:val="17F13B56"/>
    <w:rsid w:val="17F72AB1"/>
    <w:rsid w:val="17FD641A"/>
    <w:rsid w:val="180237D5"/>
    <w:rsid w:val="180A4C18"/>
    <w:rsid w:val="180C6BE2"/>
    <w:rsid w:val="180E6167"/>
    <w:rsid w:val="181066D2"/>
    <w:rsid w:val="18187335"/>
    <w:rsid w:val="181970F8"/>
    <w:rsid w:val="181B0BD3"/>
    <w:rsid w:val="181D631F"/>
    <w:rsid w:val="18253279"/>
    <w:rsid w:val="182C643A"/>
    <w:rsid w:val="183140D2"/>
    <w:rsid w:val="183879D7"/>
    <w:rsid w:val="183A5435"/>
    <w:rsid w:val="183B1275"/>
    <w:rsid w:val="183C74C7"/>
    <w:rsid w:val="18402737"/>
    <w:rsid w:val="1846212A"/>
    <w:rsid w:val="18463EA2"/>
    <w:rsid w:val="184E5C23"/>
    <w:rsid w:val="18546DFC"/>
    <w:rsid w:val="185540E5"/>
    <w:rsid w:val="18746DA6"/>
    <w:rsid w:val="187D363C"/>
    <w:rsid w:val="1881137E"/>
    <w:rsid w:val="188350F6"/>
    <w:rsid w:val="18890233"/>
    <w:rsid w:val="188B3FAB"/>
    <w:rsid w:val="18910E95"/>
    <w:rsid w:val="18933380"/>
    <w:rsid w:val="18954E2A"/>
    <w:rsid w:val="189866C8"/>
    <w:rsid w:val="18997410"/>
    <w:rsid w:val="18A60647"/>
    <w:rsid w:val="18A70D35"/>
    <w:rsid w:val="18B96776"/>
    <w:rsid w:val="18B96780"/>
    <w:rsid w:val="18BE0AF0"/>
    <w:rsid w:val="18CB084B"/>
    <w:rsid w:val="18D72D4C"/>
    <w:rsid w:val="18D83568"/>
    <w:rsid w:val="18DA44C2"/>
    <w:rsid w:val="18DC6F08"/>
    <w:rsid w:val="18E330A5"/>
    <w:rsid w:val="18E45469"/>
    <w:rsid w:val="18E611E1"/>
    <w:rsid w:val="18F7519C"/>
    <w:rsid w:val="18F86036"/>
    <w:rsid w:val="18FD7E22"/>
    <w:rsid w:val="190D2C12"/>
    <w:rsid w:val="19127118"/>
    <w:rsid w:val="192D104C"/>
    <w:rsid w:val="192D6E10"/>
    <w:rsid w:val="19322678"/>
    <w:rsid w:val="19324427"/>
    <w:rsid w:val="19397563"/>
    <w:rsid w:val="194303E2"/>
    <w:rsid w:val="194859F8"/>
    <w:rsid w:val="194C6A11"/>
    <w:rsid w:val="194D0C0F"/>
    <w:rsid w:val="19597463"/>
    <w:rsid w:val="19597C05"/>
    <w:rsid w:val="195C14A3"/>
    <w:rsid w:val="195F2D42"/>
    <w:rsid w:val="19632832"/>
    <w:rsid w:val="19694CBC"/>
    <w:rsid w:val="197131A1"/>
    <w:rsid w:val="197762DD"/>
    <w:rsid w:val="197E58BE"/>
    <w:rsid w:val="199131C9"/>
    <w:rsid w:val="19986D8A"/>
    <w:rsid w:val="199D3F96"/>
    <w:rsid w:val="19A572C2"/>
    <w:rsid w:val="19A846E9"/>
    <w:rsid w:val="19AA0461"/>
    <w:rsid w:val="19AA2B61"/>
    <w:rsid w:val="19AD1CFF"/>
    <w:rsid w:val="19B85A1E"/>
    <w:rsid w:val="19C06789"/>
    <w:rsid w:val="19C16FB0"/>
    <w:rsid w:val="19C332D1"/>
    <w:rsid w:val="19C57049"/>
    <w:rsid w:val="19C9185E"/>
    <w:rsid w:val="19DF45AE"/>
    <w:rsid w:val="19E5593D"/>
    <w:rsid w:val="19E80F0B"/>
    <w:rsid w:val="19E94800"/>
    <w:rsid w:val="19F53DD2"/>
    <w:rsid w:val="19FF1C43"/>
    <w:rsid w:val="19FF69FF"/>
    <w:rsid w:val="1A02204B"/>
    <w:rsid w:val="1A1D0C33"/>
    <w:rsid w:val="1A204DD3"/>
    <w:rsid w:val="1A246465"/>
    <w:rsid w:val="1A2D7758"/>
    <w:rsid w:val="1A330456"/>
    <w:rsid w:val="1A33348C"/>
    <w:rsid w:val="1A345C1C"/>
    <w:rsid w:val="1A3A71B0"/>
    <w:rsid w:val="1A3F6DFB"/>
    <w:rsid w:val="1A402585"/>
    <w:rsid w:val="1A402B73"/>
    <w:rsid w:val="1A500650"/>
    <w:rsid w:val="1A5B79AD"/>
    <w:rsid w:val="1A613EE7"/>
    <w:rsid w:val="1A7016AA"/>
    <w:rsid w:val="1A815666"/>
    <w:rsid w:val="1A8B64E4"/>
    <w:rsid w:val="1A9855D5"/>
    <w:rsid w:val="1AA43102"/>
    <w:rsid w:val="1AA6099B"/>
    <w:rsid w:val="1AB05F4B"/>
    <w:rsid w:val="1AB175CD"/>
    <w:rsid w:val="1AB772D9"/>
    <w:rsid w:val="1ABC427E"/>
    <w:rsid w:val="1AC217DA"/>
    <w:rsid w:val="1AC92E03"/>
    <w:rsid w:val="1AD31C39"/>
    <w:rsid w:val="1AD42B5F"/>
    <w:rsid w:val="1AD5775F"/>
    <w:rsid w:val="1AD70716"/>
    <w:rsid w:val="1ADA169B"/>
    <w:rsid w:val="1ADA70F7"/>
    <w:rsid w:val="1ADD120E"/>
    <w:rsid w:val="1AE3657B"/>
    <w:rsid w:val="1AEB5717"/>
    <w:rsid w:val="1AEC6857"/>
    <w:rsid w:val="1AF000F5"/>
    <w:rsid w:val="1AF347C3"/>
    <w:rsid w:val="1AF80A52"/>
    <w:rsid w:val="1B077945"/>
    <w:rsid w:val="1B0E4A1F"/>
    <w:rsid w:val="1B1464DA"/>
    <w:rsid w:val="1B1C0EEA"/>
    <w:rsid w:val="1B2110EE"/>
    <w:rsid w:val="1B2D1349"/>
    <w:rsid w:val="1B300E3A"/>
    <w:rsid w:val="1B32070E"/>
    <w:rsid w:val="1B3B3ACE"/>
    <w:rsid w:val="1B3E5305"/>
    <w:rsid w:val="1B3F107D"/>
    <w:rsid w:val="1B3F16B8"/>
    <w:rsid w:val="1B41733C"/>
    <w:rsid w:val="1B4A4DD7"/>
    <w:rsid w:val="1B5238E3"/>
    <w:rsid w:val="1B593EEC"/>
    <w:rsid w:val="1B612DA1"/>
    <w:rsid w:val="1B7B1EC0"/>
    <w:rsid w:val="1B7E3953"/>
    <w:rsid w:val="1B811E07"/>
    <w:rsid w:val="1B8A4149"/>
    <w:rsid w:val="1B8F7EC5"/>
    <w:rsid w:val="1B97673B"/>
    <w:rsid w:val="1B987AE7"/>
    <w:rsid w:val="1BA0723D"/>
    <w:rsid w:val="1BAE077A"/>
    <w:rsid w:val="1BB27240"/>
    <w:rsid w:val="1BB27AA1"/>
    <w:rsid w:val="1BB27CB7"/>
    <w:rsid w:val="1BC03F6C"/>
    <w:rsid w:val="1BC670A8"/>
    <w:rsid w:val="1BD143CB"/>
    <w:rsid w:val="1BD712B5"/>
    <w:rsid w:val="1BDD716A"/>
    <w:rsid w:val="1BE834C2"/>
    <w:rsid w:val="1BE9328A"/>
    <w:rsid w:val="1BEC12B2"/>
    <w:rsid w:val="1BF45C99"/>
    <w:rsid w:val="1BF754B3"/>
    <w:rsid w:val="1BF8416E"/>
    <w:rsid w:val="1C0302FC"/>
    <w:rsid w:val="1C031C2C"/>
    <w:rsid w:val="1C052FEC"/>
    <w:rsid w:val="1C077FF0"/>
    <w:rsid w:val="1C0D4C06"/>
    <w:rsid w:val="1C1213AB"/>
    <w:rsid w:val="1C135549"/>
    <w:rsid w:val="1C146371"/>
    <w:rsid w:val="1C1D682F"/>
    <w:rsid w:val="1C1E0C92"/>
    <w:rsid w:val="1C2071AA"/>
    <w:rsid w:val="1C2269D4"/>
    <w:rsid w:val="1C2B5049"/>
    <w:rsid w:val="1C2C7853"/>
    <w:rsid w:val="1C2E5379"/>
    <w:rsid w:val="1C314E69"/>
    <w:rsid w:val="1C34578A"/>
    <w:rsid w:val="1C35495A"/>
    <w:rsid w:val="1C381D54"/>
    <w:rsid w:val="1C3A1F70"/>
    <w:rsid w:val="1C422BD3"/>
    <w:rsid w:val="1C4306F9"/>
    <w:rsid w:val="1C4921B3"/>
    <w:rsid w:val="1C4E7A4A"/>
    <w:rsid w:val="1C5172BA"/>
    <w:rsid w:val="1C5E3940"/>
    <w:rsid w:val="1C5F19D6"/>
    <w:rsid w:val="1C601C05"/>
    <w:rsid w:val="1C626DD1"/>
    <w:rsid w:val="1C644651"/>
    <w:rsid w:val="1C66655B"/>
    <w:rsid w:val="1C6814B5"/>
    <w:rsid w:val="1C69015F"/>
    <w:rsid w:val="1C6F14EE"/>
    <w:rsid w:val="1C703FD2"/>
    <w:rsid w:val="1C7907B2"/>
    <w:rsid w:val="1C856F63"/>
    <w:rsid w:val="1C8B70F4"/>
    <w:rsid w:val="1C93646E"/>
    <w:rsid w:val="1C9A2A0F"/>
    <w:rsid w:val="1CA22192"/>
    <w:rsid w:val="1CAA6EE2"/>
    <w:rsid w:val="1CAF179F"/>
    <w:rsid w:val="1CB11B06"/>
    <w:rsid w:val="1CB13669"/>
    <w:rsid w:val="1CB17D58"/>
    <w:rsid w:val="1CB33AD0"/>
    <w:rsid w:val="1CB57CA7"/>
    <w:rsid w:val="1CBB4733"/>
    <w:rsid w:val="1CBE3C6B"/>
    <w:rsid w:val="1CBF06C7"/>
    <w:rsid w:val="1CC17F9B"/>
    <w:rsid w:val="1CDA105D"/>
    <w:rsid w:val="1CDC3027"/>
    <w:rsid w:val="1CDF48C5"/>
    <w:rsid w:val="1CE123EB"/>
    <w:rsid w:val="1CE617B0"/>
    <w:rsid w:val="1CE756B6"/>
    <w:rsid w:val="1CE819CC"/>
    <w:rsid w:val="1CEE3B65"/>
    <w:rsid w:val="1CF30371"/>
    <w:rsid w:val="1CF57C45"/>
    <w:rsid w:val="1CF814E3"/>
    <w:rsid w:val="1D1125A5"/>
    <w:rsid w:val="1D1247BD"/>
    <w:rsid w:val="1D1979CC"/>
    <w:rsid w:val="1D267E8D"/>
    <w:rsid w:val="1D322C47"/>
    <w:rsid w:val="1D3D29DB"/>
    <w:rsid w:val="1D4B1F5B"/>
    <w:rsid w:val="1D4B3D09"/>
    <w:rsid w:val="1D4C2561"/>
    <w:rsid w:val="1D4D182F"/>
    <w:rsid w:val="1D4E37F9"/>
    <w:rsid w:val="1D561A2F"/>
    <w:rsid w:val="1D594678"/>
    <w:rsid w:val="1D5D57EA"/>
    <w:rsid w:val="1D630766"/>
    <w:rsid w:val="1D727934"/>
    <w:rsid w:val="1D7417D3"/>
    <w:rsid w:val="1D8A0F84"/>
    <w:rsid w:val="1D8B495A"/>
    <w:rsid w:val="1D90796E"/>
    <w:rsid w:val="1DAB47A7"/>
    <w:rsid w:val="1DB056D7"/>
    <w:rsid w:val="1DBD04DA"/>
    <w:rsid w:val="1DC80A69"/>
    <w:rsid w:val="1DC835AB"/>
    <w:rsid w:val="1DCC746F"/>
    <w:rsid w:val="1DD41F50"/>
    <w:rsid w:val="1DD571A9"/>
    <w:rsid w:val="1DE55F0B"/>
    <w:rsid w:val="1DF12B02"/>
    <w:rsid w:val="1DF60118"/>
    <w:rsid w:val="1DFE6525"/>
    <w:rsid w:val="1E0708CF"/>
    <w:rsid w:val="1E071B1C"/>
    <w:rsid w:val="1E075E82"/>
    <w:rsid w:val="1E092B57"/>
    <w:rsid w:val="1E110AAE"/>
    <w:rsid w:val="1E124827"/>
    <w:rsid w:val="1E1660C5"/>
    <w:rsid w:val="1E29229C"/>
    <w:rsid w:val="1E2F7187"/>
    <w:rsid w:val="1E326C77"/>
    <w:rsid w:val="1E3B1FCF"/>
    <w:rsid w:val="1E3F65B2"/>
    <w:rsid w:val="1E4744D0"/>
    <w:rsid w:val="1E494443"/>
    <w:rsid w:val="1E4A0464"/>
    <w:rsid w:val="1E4A3FC0"/>
    <w:rsid w:val="1E4D3E8D"/>
    <w:rsid w:val="1E566E09"/>
    <w:rsid w:val="1E60426B"/>
    <w:rsid w:val="1E6240F7"/>
    <w:rsid w:val="1E65704C"/>
    <w:rsid w:val="1E674B72"/>
    <w:rsid w:val="1E6C3F37"/>
    <w:rsid w:val="1E6F3F54"/>
    <w:rsid w:val="1E71779F"/>
    <w:rsid w:val="1E723355"/>
    <w:rsid w:val="1E791917"/>
    <w:rsid w:val="1E827E59"/>
    <w:rsid w:val="1E856FA5"/>
    <w:rsid w:val="1E8A0861"/>
    <w:rsid w:val="1E94348E"/>
    <w:rsid w:val="1E960FB4"/>
    <w:rsid w:val="1E997BA5"/>
    <w:rsid w:val="1E9B0CC0"/>
    <w:rsid w:val="1E9B246D"/>
    <w:rsid w:val="1E9D67E6"/>
    <w:rsid w:val="1EAC2A66"/>
    <w:rsid w:val="1EAE09F3"/>
    <w:rsid w:val="1EB26F7E"/>
    <w:rsid w:val="1EB33D18"/>
    <w:rsid w:val="1EB3600A"/>
    <w:rsid w:val="1EBC3110"/>
    <w:rsid w:val="1EBD4792"/>
    <w:rsid w:val="1EC5360D"/>
    <w:rsid w:val="1ECE699F"/>
    <w:rsid w:val="1ED32208"/>
    <w:rsid w:val="1ED55F80"/>
    <w:rsid w:val="1ED90489"/>
    <w:rsid w:val="1EF328AA"/>
    <w:rsid w:val="1EFB350D"/>
    <w:rsid w:val="1EFD54D7"/>
    <w:rsid w:val="1EFF4DAB"/>
    <w:rsid w:val="1F001DEB"/>
    <w:rsid w:val="1F093F7F"/>
    <w:rsid w:val="1F0979D8"/>
    <w:rsid w:val="1F0D3348"/>
    <w:rsid w:val="1F0E4FEE"/>
    <w:rsid w:val="1F0E6B82"/>
    <w:rsid w:val="1F1759D5"/>
    <w:rsid w:val="1F191F86"/>
    <w:rsid w:val="1F1A7E37"/>
    <w:rsid w:val="1F1D7B74"/>
    <w:rsid w:val="1F1F544D"/>
    <w:rsid w:val="1F2E28AF"/>
    <w:rsid w:val="1F2F2A60"/>
    <w:rsid w:val="1F394761"/>
    <w:rsid w:val="1F3F164B"/>
    <w:rsid w:val="1F51312D"/>
    <w:rsid w:val="1F5463BE"/>
    <w:rsid w:val="1F5A46D7"/>
    <w:rsid w:val="1F66307C"/>
    <w:rsid w:val="1F6E1F30"/>
    <w:rsid w:val="1F737547"/>
    <w:rsid w:val="1F7C73FE"/>
    <w:rsid w:val="1F845B16"/>
    <w:rsid w:val="1F8B4890"/>
    <w:rsid w:val="1F8F4381"/>
    <w:rsid w:val="1F941997"/>
    <w:rsid w:val="1F9736CC"/>
    <w:rsid w:val="1F9A0F77"/>
    <w:rsid w:val="1F9B1C69"/>
    <w:rsid w:val="1F9C6A9E"/>
    <w:rsid w:val="1F9C7AC0"/>
    <w:rsid w:val="1F9D291A"/>
    <w:rsid w:val="1F9F1296"/>
    <w:rsid w:val="1FA140B4"/>
    <w:rsid w:val="1FA15E62"/>
    <w:rsid w:val="1FA37E2C"/>
    <w:rsid w:val="1FA75A7B"/>
    <w:rsid w:val="1FA97BE3"/>
    <w:rsid w:val="1FAE69B6"/>
    <w:rsid w:val="1FB41916"/>
    <w:rsid w:val="1FB65DB1"/>
    <w:rsid w:val="1FBA6F24"/>
    <w:rsid w:val="1FC11B83"/>
    <w:rsid w:val="1FC837BC"/>
    <w:rsid w:val="1FCB1E28"/>
    <w:rsid w:val="1FCB7383"/>
    <w:rsid w:val="1FCFA564"/>
    <w:rsid w:val="1FDA661F"/>
    <w:rsid w:val="1FDB15EE"/>
    <w:rsid w:val="1FE67D19"/>
    <w:rsid w:val="1FF65F80"/>
    <w:rsid w:val="1FF97A4C"/>
    <w:rsid w:val="1FFA7A87"/>
    <w:rsid w:val="20054643"/>
    <w:rsid w:val="20071CBB"/>
    <w:rsid w:val="20196340"/>
    <w:rsid w:val="201E74B3"/>
    <w:rsid w:val="20254CE5"/>
    <w:rsid w:val="20280331"/>
    <w:rsid w:val="202A40A9"/>
    <w:rsid w:val="20322F5E"/>
    <w:rsid w:val="203647FC"/>
    <w:rsid w:val="204213F3"/>
    <w:rsid w:val="204607B7"/>
    <w:rsid w:val="20474C5B"/>
    <w:rsid w:val="204A474C"/>
    <w:rsid w:val="204B3F7C"/>
    <w:rsid w:val="204C58AF"/>
    <w:rsid w:val="205630F0"/>
    <w:rsid w:val="205B0508"/>
    <w:rsid w:val="205F6080"/>
    <w:rsid w:val="2060460E"/>
    <w:rsid w:val="20675279"/>
    <w:rsid w:val="206770AC"/>
    <w:rsid w:val="206878F6"/>
    <w:rsid w:val="206A6E01"/>
    <w:rsid w:val="206C021E"/>
    <w:rsid w:val="206E043A"/>
    <w:rsid w:val="206E253F"/>
    <w:rsid w:val="20796DDF"/>
    <w:rsid w:val="2085615F"/>
    <w:rsid w:val="208A2D9A"/>
    <w:rsid w:val="208F03B0"/>
    <w:rsid w:val="2091701F"/>
    <w:rsid w:val="20A200E4"/>
    <w:rsid w:val="20AE082C"/>
    <w:rsid w:val="20B7355D"/>
    <w:rsid w:val="20BB2F53"/>
    <w:rsid w:val="20BC1BF5"/>
    <w:rsid w:val="20BC54B9"/>
    <w:rsid w:val="20C938C2"/>
    <w:rsid w:val="20D50C75"/>
    <w:rsid w:val="20D962CC"/>
    <w:rsid w:val="20DB35F6"/>
    <w:rsid w:val="20DF30E6"/>
    <w:rsid w:val="20E17D82"/>
    <w:rsid w:val="20E56222"/>
    <w:rsid w:val="20EA07B5"/>
    <w:rsid w:val="20EE4E90"/>
    <w:rsid w:val="20F052F3"/>
    <w:rsid w:val="20F546B7"/>
    <w:rsid w:val="210963B5"/>
    <w:rsid w:val="210E49DE"/>
    <w:rsid w:val="211865F8"/>
    <w:rsid w:val="21262AC3"/>
    <w:rsid w:val="212B6FEF"/>
    <w:rsid w:val="212E3725"/>
    <w:rsid w:val="212E7BC9"/>
    <w:rsid w:val="21303941"/>
    <w:rsid w:val="213F011B"/>
    <w:rsid w:val="213F106C"/>
    <w:rsid w:val="21470C8B"/>
    <w:rsid w:val="214B42D7"/>
    <w:rsid w:val="214D44F3"/>
    <w:rsid w:val="21507B40"/>
    <w:rsid w:val="215B0293"/>
    <w:rsid w:val="215C4736"/>
    <w:rsid w:val="21645399"/>
    <w:rsid w:val="21690C01"/>
    <w:rsid w:val="216A7F7F"/>
    <w:rsid w:val="21725D08"/>
    <w:rsid w:val="217607C6"/>
    <w:rsid w:val="21780E44"/>
    <w:rsid w:val="217A1B37"/>
    <w:rsid w:val="217B0148"/>
    <w:rsid w:val="217B10F6"/>
    <w:rsid w:val="21802BDB"/>
    <w:rsid w:val="218559C7"/>
    <w:rsid w:val="218D2B42"/>
    <w:rsid w:val="219072C7"/>
    <w:rsid w:val="21921F06"/>
    <w:rsid w:val="21952B1C"/>
    <w:rsid w:val="219C2D85"/>
    <w:rsid w:val="219D08AB"/>
    <w:rsid w:val="21A25EC1"/>
    <w:rsid w:val="21A63C04"/>
    <w:rsid w:val="21A67760"/>
    <w:rsid w:val="21A960B1"/>
    <w:rsid w:val="21B52099"/>
    <w:rsid w:val="21BA215A"/>
    <w:rsid w:val="21C1459A"/>
    <w:rsid w:val="21C8234E"/>
    <w:rsid w:val="21D21292"/>
    <w:rsid w:val="21DF0EC4"/>
    <w:rsid w:val="21DFD753"/>
    <w:rsid w:val="21E24E00"/>
    <w:rsid w:val="21E32762"/>
    <w:rsid w:val="21E40288"/>
    <w:rsid w:val="21E87D78"/>
    <w:rsid w:val="21E922D1"/>
    <w:rsid w:val="21E94948"/>
    <w:rsid w:val="21F67DC0"/>
    <w:rsid w:val="21FE2F35"/>
    <w:rsid w:val="2204302B"/>
    <w:rsid w:val="2208041A"/>
    <w:rsid w:val="220B67A9"/>
    <w:rsid w:val="2210063E"/>
    <w:rsid w:val="2216237D"/>
    <w:rsid w:val="22162B37"/>
    <w:rsid w:val="221768AF"/>
    <w:rsid w:val="221A367E"/>
    <w:rsid w:val="221B014E"/>
    <w:rsid w:val="222334A6"/>
    <w:rsid w:val="22327245"/>
    <w:rsid w:val="22352F4F"/>
    <w:rsid w:val="22405E06"/>
    <w:rsid w:val="22433200"/>
    <w:rsid w:val="224D3C5B"/>
    <w:rsid w:val="22576CAC"/>
    <w:rsid w:val="22596EC8"/>
    <w:rsid w:val="225F3D4E"/>
    <w:rsid w:val="22652D04"/>
    <w:rsid w:val="2265384E"/>
    <w:rsid w:val="226D64CF"/>
    <w:rsid w:val="226F0499"/>
    <w:rsid w:val="22737F8A"/>
    <w:rsid w:val="22743D02"/>
    <w:rsid w:val="22747340"/>
    <w:rsid w:val="227710FC"/>
    <w:rsid w:val="227E06DD"/>
    <w:rsid w:val="227E248B"/>
    <w:rsid w:val="228F28EA"/>
    <w:rsid w:val="229972C4"/>
    <w:rsid w:val="22A21625"/>
    <w:rsid w:val="22A30143"/>
    <w:rsid w:val="22A448F0"/>
    <w:rsid w:val="22A805E7"/>
    <w:rsid w:val="22A94701"/>
    <w:rsid w:val="22B35470"/>
    <w:rsid w:val="22B440FE"/>
    <w:rsid w:val="22B46A4F"/>
    <w:rsid w:val="22BD7457"/>
    <w:rsid w:val="22C55999"/>
    <w:rsid w:val="22C72083"/>
    <w:rsid w:val="22C97BAA"/>
    <w:rsid w:val="22CE51C0"/>
    <w:rsid w:val="22D438C1"/>
    <w:rsid w:val="22EA7B20"/>
    <w:rsid w:val="22F538D8"/>
    <w:rsid w:val="22F664C5"/>
    <w:rsid w:val="22FA4207"/>
    <w:rsid w:val="22FC4719"/>
    <w:rsid w:val="23046E34"/>
    <w:rsid w:val="23085188"/>
    <w:rsid w:val="231A09C1"/>
    <w:rsid w:val="231E08D1"/>
    <w:rsid w:val="231F1910"/>
    <w:rsid w:val="232C1EE7"/>
    <w:rsid w:val="232E5C5F"/>
    <w:rsid w:val="233139A1"/>
    <w:rsid w:val="233174FD"/>
    <w:rsid w:val="23362D65"/>
    <w:rsid w:val="23377EE9"/>
    <w:rsid w:val="233804FC"/>
    <w:rsid w:val="234F5BD5"/>
    <w:rsid w:val="23502079"/>
    <w:rsid w:val="23503E27"/>
    <w:rsid w:val="236445A8"/>
    <w:rsid w:val="236974CF"/>
    <w:rsid w:val="236C0154"/>
    <w:rsid w:val="23711416"/>
    <w:rsid w:val="237B0B11"/>
    <w:rsid w:val="2380628D"/>
    <w:rsid w:val="23847F75"/>
    <w:rsid w:val="238734D8"/>
    <w:rsid w:val="239161EE"/>
    <w:rsid w:val="23943321"/>
    <w:rsid w:val="23953EC0"/>
    <w:rsid w:val="239F6B5C"/>
    <w:rsid w:val="23AE0B4E"/>
    <w:rsid w:val="23B02B18"/>
    <w:rsid w:val="23BF004B"/>
    <w:rsid w:val="23C2564B"/>
    <w:rsid w:val="23C465C3"/>
    <w:rsid w:val="23C6233B"/>
    <w:rsid w:val="23C87E61"/>
    <w:rsid w:val="23CB28C1"/>
    <w:rsid w:val="23D031BA"/>
    <w:rsid w:val="23D06B79"/>
    <w:rsid w:val="23D170A4"/>
    <w:rsid w:val="23D77FBF"/>
    <w:rsid w:val="23DC1B5F"/>
    <w:rsid w:val="23E00C5B"/>
    <w:rsid w:val="23ED401F"/>
    <w:rsid w:val="24044BAA"/>
    <w:rsid w:val="240D1D18"/>
    <w:rsid w:val="24156E1F"/>
    <w:rsid w:val="24183B85"/>
    <w:rsid w:val="241E5A1E"/>
    <w:rsid w:val="2420033E"/>
    <w:rsid w:val="24217571"/>
    <w:rsid w:val="24247062"/>
    <w:rsid w:val="24341072"/>
    <w:rsid w:val="24375135"/>
    <w:rsid w:val="243E0123"/>
    <w:rsid w:val="243E0B90"/>
    <w:rsid w:val="24482D50"/>
    <w:rsid w:val="244871F4"/>
    <w:rsid w:val="245C2C9F"/>
    <w:rsid w:val="246002C2"/>
    <w:rsid w:val="246230E2"/>
    <w:rsid w:val="246C263E"/>
    <w:rsid w:val="247973AD"/>
    <w:rsid w:val="247D4FD2"/>
    <w:rsid w:val="247F74E9"/>
    <w:rsid w:val="2483647E"/>
    <w:rsid w:val="248A5117"/>
    <w:rsid w:val="24963695"/>
    <w:rsid w:val="24992363"/>
    <w:rsid w:val="249A3F9E"/>
    <w:rsid w:val="249C4E4A"/>
    <w:rsid w:val="249E438A"/>
    <w:rsid w:val="24A02B8C"/>
    <w:rsid w:val="24A30154"/>
    <w:rsid w:val="24A65CC9"/>
    <w:rsid w:val="24C16F7E"/>
    <w:rsid w:val="24C20D54"/>
    <w:rsid w:val="24CF5CE1"/>
    <w:rsid w:val="24D1681D"/>
    <w:rsid w:val="24F33949"/>
    <w:rsid w:val="24FB12CB"/>
    <w:rsid w:val="24FD2354"/>
    <w:rsid w:val="25074388"/>
    <w:rsid w:val="25075D5E"/>
    <w:rsid w:val="250E3F9A"/>
    <w:rsid w:val="250F386E"/>
    <w:rsid w:val="25102EC3"/>
    <w:rsid w:val="2511683C"/>
    <w:rsid w:val="251760C1"/>
    <w:rsid w:val="252217F3"/>
    <w:rsid w:val="25273672"/>
    <w:rsid w:val="253432D4"/>
    <w:rsid w:val="25394A15"/>
    <w:rsid w:val="253F4153"/>
    <w:rsid w:val="25493224"/>
    <w:rsid w:val="254B4ECF"/>
    <w:rsid w:val="254B6F9C"/>
    <w:rsid w:val="255E790D"/>
    <w:rsid w:val="25706A02"/>
    <w:rsid w:val="25710A7A"/>
    <w:rsid w:val="257B7125"/>
    <w:rsid w:val="257C53A7"/>
    <w:rsid w:val="258A2BF2"/>
    <w:rsid w:val="259049AF"/>
    <w:rsid w:val="259124D5"/>
    <w:rsid w:val="25A12397"/>
    <w:rsid w:val="25A725E0"/>
    <w:rsid w:val="25A91F14"/>
    <w:rsid w:val="25AA4B69"/>
    <w:rsid w:val="25AC1A52"/>
    <w:rsid w:val="25B508B9"/>
    <w:rsid w:val="25B6018D"/>
    <w:rsid w:val="25B763DF"/>
    <w:rsid w:val="25B83F05"/>
    <w:rsid w:val="25BA26B3"/>
    <w:rsid w:val="25C06FB5"/>
    <w:rsid w:val="25C12DBA"/>
    <w:rsid w:val="25C91C6F"/>
    <w:rsid w:val="25CB1E8B"/>
    <w:rsid w:val="25CB3C39"/>
    <w:rsid w:val="25CB59E7"/>
    <w:rsid w:val="25CD1895"/>
    <w:rsid w:val="25D446E4"/>
    <w:rsid w:val="25DA3E7C"/>
    <w:rsid w:val="25DD309F"/>
    <w:rsid w:val="25DF12E0"/>
    <w:rsid w:val="25E40DB9"/>
    <w:rsid w:val="25E44CFA"/>
    <w:rsid w:val="25E46AA9"/>
    <w:rsid w:val="25E82A3D"/>
    <w:rsid w:val="25EA4162"/>
    <w:rsid w:val="25F77567"/>
    <w:rsid w:val="25FB7378"/>
    <w:rsid w:val="26056E99"/>
    <w:rsid w:val="260D24A3"/>
    <w:rsid w:val="260D5FFF"/>
    <w:rsid w:val="261B5221"/>
    <w:rsid w:val="26215F4F"/>
    <w:rsid w:val="26241155"/>
    <w:rsid w:val="26244156"/>
    <w:rsid w:val="262650A6"/>
    <w:rsid w:val="26344938"/>
    <w:rsid w:val="26346028"/>
    <w:rsid w:val="26373D44"/>
    <w:rsid w:val="263824C4"/>
    <w:rsid w:val="26395128"/>
    <w:rsid w:val="26576330"/>
    <w:rsid w:val="265A4FBD"/>
    <w:rsid w:val="265C6F87"/>
    <w:rsid w:val="2660010A"/>
    <w:rsid w:val="266478C3"/>
    <w:rsid w:val="26661BB3"/>
    <w:rsid w:val="266B541C"/>
    <w:rsid w:val="266F0A68"/>
    <w:rsid w:val="26773DC1"/>
    <w:rsid w:val="267E4F9C"/>
    <w:rsid w:val="26800C37"/>
    <w:rsid w:val="268C02CD"/>
    <w:rsid w:val="268C786C"/>
    <w:rsid w:val="268D24CB"/>
    <w:rsid w:val="268D2FF6"/>
    <w:rsid w:val="268F110A"/>
    <w:rsid w:val="269A360B"/>
    <w:rsid w:val="269E759F"/>
    <w:rsid w:val="26A01A7A"/>
    <w:rsid w:val="26AD1590"/>
    <w:rsid w:val="26B20955"/>
    <w:rsid w:val="26B32C76"/>
    <w:rsid w:val="26B64C4A"/>
    <w:rsid w:val="26B87F70"/>
    <w:rsid w:val="26BE0F27"/>
    <w:rsid w:val="26C02F8B"/>
    <w:rsid w:val="26C568DA"/>
    <w:rsid w:val="26D70380"/>
    <w:rsid w:val="26DA43A7"/>
    <w:rsid w:val="26DB7EAB"/>
    <w:rsid w:val="26EF2570"/>
    <w:rsid w:val="26F176CF"/>
    <w:rsid w:val="26F471BF"/>
    <w:rsid w:val="270513CC"/>
    <w:rsid w:val="2705317A"/>
    <w:rsid w:val="27084A19"/>
    <w:rsid w:val="270C62B7"/>
    <w:rsid w:val="27135897"/>
    <w:rsid w:val="27166C4D"/>
    <w:rsid w:val="27191DB9"/>
    <w:rsid w:val="271A2793"/>
    <w:rsid w:val="27247BA0"/>
    <w:rsid w:val="27271343"/>
    <w:rsid w:val="272A498F"/>
    <w:rsid w:val="27370766"/>
    <w:rsid w:val="273B6B9C"/>
    <w:rsid w:val="273D4C31"/>
    <w:rsid w:val="274E68CF"/>
    <w:rsid w:val="2751016E"/>
    <w:rsid w:val="2753038A"/>
    <w:rsid w:val="275324C4"/>
    <w:rsid w:val="27545EB0"/>
    <w:rsid w:val="2755256A"/>
    <w:rsid w:val="27590676"/>
    <w:rsid w:val="275A34C6"/>
    <w:rsid w:val="27606603"/>
    <w:rsid w:val="276228CE"/>
    <w:rsid w:val="2763099B"/>
    <w:rsid w:val="27647521"/>
    <w:rsid w:val="276500BD"/>
    <w:rsid w:val="276734B3"/>
    <w:rsid w:val="2769195B"/>
    <w:rsid w:val="27736336"/>
    <w:rsid w:val="27802801"/>
    <w:rsid w:val="278468F4"/>
    <w:rsid w:val="27AA5AD0"/>
    <w:rsid w:val="27BE5EBD"/>
    <w:rsid w:val="27C070A1"/>
    <w:rsid w:val="27C13545"/>
    <w:rsid w:val="27C4285D"/>
    <w:rsid w:val="27C46B92"/>
    <w:rsid w:val="27D17500"/>
    <w:rsid w:val="27E86D24"/>
    <w:rsid w:val="27F6425C"/>
    <w:rsid w:val="27FC457D"/>
    <w:rsid w:val="27FE55BF"/>
    <w:rsid w:val="2805028C"/>
    <w:rsid w:val="280C22E7"/>
    <w:rsid w:val="280D2EB2"/>
    <w:rsid w:val="28154A05"/>
    <w:rsid w:val="28235FAE"/>
    <w:rsid w:val="282615FA"/>
    <w:rsid w:val="28284F1A"/>
    <w:rsid w:val="282D51D7"/>
    <w:rsid w:val="282E04AF"/>
    <w:rsid w:val="2838132E"/>
    <w:rsid w:val="28400C18"/>
    <w:rsid w:val="284101E2"/>
    <w:rsid w:val="2841056E"/>
    <w:rsid w:val="28447CD2"/>
    <w:rsid w:val="284657F9"/>
    <w:rsid w:val="284F6DA3"/>
    <w:rsid w:val="28500425"/>
    <w:rsid w:val="285236EE"/>
    <w:rsid w:val="2855533A"/>
    <w:rsid w:val="285C6DCA"/>
    <w:rsid w:val="285E0D94"/>
    <w:rsid w:val="285F2D5E"/>
    <w:rsid w:val="28687E65"/>
    <w:rsid w:val="286A22CA"/>
    <w:rsid w:val="286B34B1"/>
    <w:rsid w:val="28744262"/>
    <w:rsid w:val="28754360"/>
    <w:rsid w:val="287D4CFD"/>
    <w:rsid w:val="287F6F5C"/>
    <w:rsid w:val="288104AD"/>
    <w:rsid w:val="28810DDE"/>
    <w:rsid w:val="288527C5"/>
    <w:rsid w:val="28887BBF"/>
    <w:rsid w:val="288B0B76"/>
    <w:rsid w:val="288F53F1"/>
    <w:rsid w:val="2890116A"/>
    <w:rsid w:val="289447B6"/>
    <w:rsid w:val="28991DCC"/>
    <w:rsid w:val="289A5B44"/>
    <w:rsid w:val="28A15125"/>
    <w:rsid w:val="28A54C15"/>
    <w:rsid w:val="28AD5878"/>
    <w:rsid w:val="28AF339E"/>
    <w:rsid w:val="28B1694E"/>
    <w:rsid w:val="28B44E58"/>
    <w:rsid w:val="28B5781B"/>
    <w:rsid w:val="28BE7CB9"/>
    <w:rsid w:val="28C3509B"/>
    <w:rsid w:val="28CA01D8"/>
    <w:rsid w:val="28D76D98"/>
    <w:rsid w:val="28DC652E"/>
    <w:rsid w:val="28DE3C83"/>
    <w:rsid w:val="28E03E9F"/>
    <w:rsid w:val="28EA6ACC"/>
    <w:rsid w:val="28ED036A"/>
    <w:rsid w:val="28EF15D4"/>
    <w:rsid w:val="28FF2559"/>
    <w:rsid w:val="291D29FD"/>
    <w:rsid w:val="291E1980"/>
    <w:rsid w:val="29253B8C"/>
    <w:rsid w:val="292720A2"/>
    <w:rsid w:val="2927562A"/>
    <w:rsid w:val="292A6EC8"/>
    <w:rsid w:val="292B28D8"/>
    <w:rsid w:val="293935AF"/>
    <w:rsid w:val="293C7543"/>
    <w:rsid w:val="293F0B3B"/>
    <w:rsid w:val="29442B98"/>
    <w:rsid w:val="2944442E"/>
    <w:rsid w:val="294B3563"/>
    <w:rsid w:val="2953641F"/>
    <w:rsid w:val="29565F0F"/>
    <w:rsid w:val="295959FF"/>
    <w:rsid w:val="29606D8E"/>
    <w:rsid w:val="2964687E"/>
    <w:rsid w:val="29730EAB"/>
    <w:rsid w:val="29736AC1"/>
    <w:rsid w:val="297414A2"/>
    <w:rsid w:val="297445E7"/>
    <w:rsid w:val="29841176"/>
    <w:rsid w:val="29847FAB"/>
    <w:rsid w:val="29875444"/>
    <w:rsid w:val="298C7B83"/>
    <w:rsid w:val="29A27CB4"/>
    <w:rsid w:val="29A502DB"/>
    <w:rsid w:val="29A85F47"/>
    <w:rsid w:val="29AF73CD"/>
    <w:rsid w:val="29B104AC"/>
    <w:rsid w:val="29B50E88"/>
    <w:rsid w:val="29B82726"/>
    <w:rsid w:val="29C17E10"/>
    <w:rsid w:val="29CA4207"/>
    <w:rsid w:val="29CF0579"/>
    <w:rsid w:val="29D55086"/>
    <w:rsid w:val="29DA6B40"/>
    <w:rsid w:val="29DF7CB3"/>
    <w:rsid w:val="29EE77FA"/>
    <w:rsid w:val="29FA0F90"/>
    <w:rsid w:val="29FF65A7"/>
    <w:rsid w:val="2A005376"/>
    <w:rsid w:val="2A06146B"/>
    <w:rsid w:val="2A0911D4"/>
    <w:rsid w:val="2A104310"/>
    <w:rsid w:val="2A111E36"/>
    <w:rsid w:val="2A156EF3"/>
    <w:rsid w:val="2A1B4A63"/>
    <w:rsid w:val="2A1D6EA4"/>
    <w:rsid w:val="2A2102CB"/>
    <w:rsid w:val="2A2342F0"/>
    <w:rsid w:val="2A2C6C70"/>
    <w:rsid w:val="2A327547"/>
    <w:rsid w:val="2A383E1C"/>
    <w:rsid w:val="2A3873C3"/>
    <w:rsid w:val="2A396D5F"/>
    <w:rsid w:val="2A3A313B"/>
    <w:rsid w:val="2A41271B"/>
    <w:rsid w:val="2A481FEB"/>
    <w:rsid w:val="2A4915D0"/>
    <w:rsid w:val="2A4C2E6E"/>
    <w:rsid w:val="2A4D7312"/>
    <w:rsid w:val="2A4E6BE6"/>
    <w:rsid w:val="2A4F24A3"/>
    <w:rsid w:val="2A5650D2"/>
    <w:rsid w:val="2A581813"/>
    <w:rsid w:val="2A5A2571"/>
    <w:rsid w:val="2A5C08E2"/>
    <w:rsid w:val="2A683E43"/>
    <w:rsid w:val="2A691522"/>
    <w:rsid w:val="2A6E6282"/>
    <w:rsid w:val="2A6E7832"/>
    <w:rsid w:val="2A703001"/>
    <w:rsid w:val="2A717BD8"/>
    <w:rsid w:val="2A7908B3"/>
    <w:rsid w:val="2A7B200E"/>
    <w:rsid w:val="2A7C19A5"/>
    <w:rsid w:val="2A813FB0"/>
    <w:rsid w:val="2A842119"/>
    <w:rsid w:val="2A852020"/>
    <w:rsid w:val="2A88659C"/>
    <w:rsid w:val="2A8A07F6"/>
    <w:rsid w:val="2A924D25"/>
    <w:rsid w:val="2A97233B"/>
    <w:rsid w:val="2A9867EE"/>
    <w:rsid w:val="2A993076"/>
    <w:rsid w:val="2A9B1E49"/>
    <w:rsid w:val="2AA84549"/>
    <w:rsid w:val="2AAC6926"/>
    <w:rsid w:val="2AB0164F"/>
    <w:rsid w:val="2AB033FD"/>
    <w:rsid w:val="2AB07060"/>
    <w:rsid w:val="2AB078A1"/>
    <w:rsid w:val="2AB87401"/>
    <w:rsid w:val="2ABA4F73"/>
    <w:rsid w:val="2AC1385C"/>
    <w:rsid w:val="2AC33130"/>
    <w:rsid w:val="2AC45712"/>
    <w:rsid w:val="2AC46EA9"/>
    <w:rsid w:val="2AC670C5"/>
    <w:rsid w:val="2ACD6BF6"/>
    <w:rsid w:val="2ACF474A"/>
    <w:rsid w:val="2AE337D3"/>
    <w:rsid w:val="2AE67238"/>
    <w:rsid w:val="2AE87D64"/>
    <w:rsid w:val="2AEB2687"/>
    <w:rsid w:val="2AED4651"/>
    <w:rsid w:val="2AEF03C9"/>
    <w:rsid w:val="2AFE23BA"/>
    <w:rsid w:val="2B075F1F"/>
    <w:rsid w:val="2B0B2D29"/>
    <w:rsid w:val="2B12169A"/>
    <w:rsid w:val="2B123081"/>
    <w:rsid w:val="2B157704"/>
    <w:rsid w:val="2B1C0A93"/>
    <w:rsid w:val="2B1C410C"/>
    <w:rsid w:val="2B255B99"/>
    <w:rsid w:val="2B2F4BC8"/>
    <w:rsid w:val="2B3109E2"/>
    <w:rsid w:val="2B33475A"/>
    <w:rsid w:val="2B342280"/>
    <w:rsid w:val="2B3A3673"/>
    <w:rsid w:val="2B4167FD"/>
    <w:rsid w:val="2B453F72"/>
    <w:rsid w:val="2B487ADA"/>
    <w:rsid w:val="2B5841C1"/>
    <w:rsid w:val="2B585F6F"/>
    <w:rsid w:val="2B5B5A5F"/>
    <w:rsid w:val="2B690698"/>
    <w:rsid w:val="2B6C58CD"/>
    <w:rsid w:val="2B6D0916"/>
    <w:rsid w:val="2B746B21"/>
    <w:rsid w:val="2B7733E2"/>
    <w:rsid w:val="2B824D9A"/>
    <w:rsid w:val="2B875A95"/>
    <w:rsid w:val="2B893735"/>
    <w:rsid w:val="2B8E7BE2"/>
    <w:rsid w:val="2B910532"/>
    <w:rsid w:val="2B91392E"/>
    <w:rsid w:val="2B942D1F"/>
    <w:rsid w:val="2B9F3B9D"/>
    <w:rsid w:val="2BA016C4"/>
    <w:rsid w:val="2BA03472"/>
    <w:rsid w:val="2BA95F5B"/>
    <w:rsid w:val="2BAA6270"/>
    <w:rsid w:val="2BC5224B"/>
    <w:rsid w:val="2BD575BF"/>
    <w:rsid w:val="2BE772F2"/>
    <w:rsid w:val="2BEA6BC5"/>
    <w:rsid w:val="2BEE55D3"/>
    <w:rsid w:val="2BEE58ED"/>
    <w:rsid w:val="2BFD6B16"/>
    <w:rsid w:val="2BFF288E"/>
    <w:rsid w:val="2C016606"/>
    <w:rsid w:val="2C053FB0"/>
    <w:rsid w:val="2C0B1233"/>
    <w:rsid w:val="2C0E487F"/>
    <w:rsid w:val="2C147E92"/>
    <w:rsid w:val="2C1874AC"/>
    <w:rsid w:val="2C2372FA"/>
    <w:rsid w:val="2C324A12"/>
    <w:rsid w:val="2C394082"/>
    <w:rsid w:val="2C4635C4"/>
    <w:rsid w:val="2C5030EA"/>
    <w:rsid w:val="2C506C46"/>
    <w:rsid w:val="2C520C10"/>
    <w:rsid w:val="2C534988"/>
    <w:rsid w:val="2C5454F0"/>
    <w:rsid w:val="2C576226"/>
    <w:rsid w:val="2C5B55EB"/>
    <w:rsid w:val="2C5D1363"/>
    <w:rsid w:val="2C610E53"/>
    <w:rsid w:val="2C6941AB"/>
    <w:rsid w:val="2C6E17C2"/>
    <w:rsid w:val="2C7212B2"/>
    <w:rsid w:val="2C7A3CC3"/>
    <w:rsid w:val="2C7B4FDB"/>
    <w:rsid w:val="2C7E318B"/>
    <w:rsid w:val="2C7F577D"/>
    <w:rsid w:val="2C82701B"/>
    <w:rsid w:val="2C866019"/>
    <w:rsid w:val="2C8B5ED0"/>
    <w:rsid w:val="2C931228"/>
    <w:rsid w:val="2C9A4365"/>
    <w:rsid w:val="2C9E4F19"/>
    <w:rsid w:val="2CA3146B"/>
    <w:rsid w:val="2CA64266"/>
    <w:rsid w:val="2CA64AB8"/>
    <w:rsid w:val="2CAA608D"/>
    <w:rsid w:val="2CAB47C4"/>
    <w:rsid w:val="2CAB6572"/>
    <w:rsid w:val="2CAC6259"/>
    <w:rsid w:val="2CB01DDA"/>
    <w:rsid w:val="2CB76CC5"/>
    <w:rsid w:val="2CBB4441"/>
    <w:rsid w:val="2CC413E2"/>
    <w:rsid w:val="2CC74884"/>
    <w:rsid w:val="2CCB09C2"/>
    <w:rsid w:val="2CD45AC9"/>
    <w:rsid w:val="2CDC497D"/>
    <w:rsid w:val="2CDE1189"/>
    <w:rsid w:val="2CE8006E"/>
    <w:rsid w:val="2CED7BB5"/>
    <w:rsid w:val="2CF20571"/>
    <w:rsid w:val="2CF260ED"/>
    <w:rsid w:val="2CF81C39"/>
    <w:rsid w:val="2CFC5020"/>
    <w:rsid w:val="2D0839C4"/>
    <w:rsid w:val="2D1138FA"/>
    <w:rsid w:val="2D1166CA"/>
    <w:rsid w:val="2D1660E1"/>
    <w:rsid w:val="2D173C07"/>
    <w:rsid w:val="2D1C121E"/>
    <w:rsid w:val="2D1C4D7A"/>
    <w:rsid w:val="2D23435A"/>
    <w:rsid w:val="2D25772B"/>
    <w:rsid w:val="2D297497"/>
    <w:rsid w:val="2D4367AA"/>
    <w:rsid w:val="2D486799"/>
    <w:rsid w:val="2D4E3864"/>
    <w:rsid w:val="2D4E3A9B"/>
    <w:rsid w:val="2D63436F"/>
    <w:rsid w:val="2D673B1D"/>
    <w:rsid w:val="2D6A77EA"/>
    <w:rsid w:val="2D6C3F53"/>
    <w:rsid w:val="2D6D78F0"/>
    <w:rsid w:val="2D726292"/>
    <w:rsid w:val="2D727090"/>
    <w:rsid w:val="2D782DD6"/>
    <w:rsid w:val="2D7B4196"/>
    <w:rsid w:val="2D7B5F44"/>
    <w:rsid w:val="2D7B7CF2"/>
    <w:rsid w:val="2D7C1CBC"/>
    <w:rsid w:val="2D8079FF"/>
    <w:rsid w:val="2D8350FA"/>
    <w:rsid w:val="2D856881"/>
    <w:rsid w:val="2D860E97"/>
    <w:rsid w:val="2D8A43D9"/>
    <w:rsid w:val="2D9042F7"/>
    <w:rsid w:val="2D92328E"/>
    <w:rsid w:val="2D9D5B09"/>
    <w:rsid w:val="2DA2135E"/>
    <w:rsid w:val="2DAB4725"/>
    <w:rsid w:val="2DB52835"/>
    <w:rsid w:val="2DC23B73"/>
    <w:rsid w:val="2DC31699"/>
    <w:rsid w:val="2DC518B5"/>
    <w:rsid w:val="2DCE3A1B"/>
    <w:rsid w:val="2DE14AA4"/>
    <w:rsid w:val="2DE25FC3"/>
    <w:rsid w:val="2DE41D3C"/>
    <w:rsid w:val="2DE57862"/>
    <w:rsid w:val="2DE6646A"/>
    <w:rsid w:val="2DEF248E"/>
    <w:rsid w:val="2DF857E7"/>
    <w:rsid w:val="2DFC65DC"/>
    <w:rsid w:val="2DFE3F89"/>
    <w:rsid w:val="2E03142A"/>
    <w:rsid w:val="2E073C7C"/>
    <w:rsid w:val="2E0B15A9"/>
    <w:rsid w:val="2E104609"/>
    <w:rsid w:val="2E1115FA"/>
    <w:rsid w:val="2E1F4B98"/>
    <w:rsid w:val="2E224612"/>
    <w:rsid w:val="2E2364E8"/>
    <w:rsid w:val="2E272EDA"/>
    <w:rsid w:val="2E297BD2"/>
    <w:rsid w:val="2E2A44CC"/>
    <w:rsid w:val="2E2D6DDD"/>
    <w:rsid w:val="2E3A5DFF"/>
    <w:rsid w:val="2E3B7391"/>
    <w:rsid w:val="2E4446FB"/>
    <w:rsid w:val="2E47051C"/>
    <w:rsid w:val="2E4B1DBB"/>
    <w:rsid w:val="2E4E5407"/>
    <w:rsid w:val="2E513149"/>
    <w:rsid w:val="2E514EF7"/>
    <w:rsid w:val="2E5D389C"/>
    <w:rsid w:val="2E70555D"/>
    <w:rsid w:val="2E72782A"/>
    <w:rsid w:val="2E755089"/>
    <w:rsid w:val="2E7806D6"/>
    <w:rsid w:val="2E782484"/>
    <w:rsid w:val="2E7E7DC6"/>
    <w:rsid w:val="2E8010BB"/>
    <w:rsid w:val="2E884DBD"/>
    <w:rsid w:val="2E8D676F"/>
    <w:rsid w:val="2E933762"/>
    <w:rsid w:val="2E9848D4"/>
    <w:rsid w:val="2E9A064C"/>
    <w:rsid w:val="2E9B17D4"/>
    <w:rsid w:val="2EA21AF6"/>
    <w:rsid w:val="2EA30E7D"/>
    <w:rsid w:val="2EA96AE1"/>
    <w:rsid w:val="2EB23BE8"/>
    <w:rsid w:val="2EB339E2"/>
    <w:rsid w:val="2EB536D8"/>
    <w:rsid w:val="2EB96346"/>
    <w:rsid w:val="2EC04678"/>
    <w:rsid w:val="2EC97183"/>
    <w:rsid w:val="2ED2505E"/>
    <w:rsid w:val="2EDC5736"/>
    <w:rsid w:val="2EE10029"/>
    <w:rsid w:val="2EE93382"/>
    <w:rsid w:val="2EEC5705"/>
    <w:rsid w:val="2EF91817"/>
    <w:rsid w:val="2F01691D"/>
    <w:rsid w:val="2F065CE2"/>
    <w:rsid w:val="2F1228D8"/>
    <w:rsid w:val="2F2A333B"/>
    <w:rsid w:val="2F3A598B"/>
    <w:rsid w:val="2F3B4965"/>
    <w:rsid w:val="2F3C3D90"/>
    <w:rsid w:val="2F3F2FA2"/>
    <w:rsid w:val="2F407445"/>
    <w:rsid w:val="2F452CAE"/>
    <w:rsid w:val="2F4B49E0"/>
    <w:rsid w:val="2F5702EB"/>
    <w:rsid w:val="2F5F4371"/>
    <w:rsid w:val="2F642A08"/>
    <w:rsid w:val="2F686E5E"/>
    <w:rsid w:val="2F6B3D97"/>
    <w:rsid w:val="2F6C3552"/>
    <w:rsid w:val="2F6E315F"/>
    <w:rsid w:val="2F6F1AD9"/>
    <w:rsid w:val="2F725125"/>
    <w:rsid w:val="2F7C41F6"/>
    <w:rsid w:val="2F7E0CFF"/>
    <w:rsid w:val="2F810ECF"/>
    <w:rsid w:val="2F81180C"/>
    <w:rsid w:val="2F917CA1"/>
    <w:rsid w:val="2FA554FB"/>
    <w:rsid w:val="2FA85975"/>
    <w:rsid w:val="2FAB0996"/>
    <w:rsid w:val="2FB46BCA"/>
    <w:rsid w:val="2FBD0DC9"/>
    <w:rsid w:val="2FBE65BC"/>
    <w:rsid w:val="2FC31E25"/>
    <w:rsid w:val="2FC35981"/>
    <w:rsid w:val="2FCA6D0F"/>
    <w:rsid w:val="2FCB7E61"/>
    <w:rsid w:val="2FD41464"/>
    <w:rsid w:val="2FDB716E"/>
    <w:rsid w:val="2FE245F0"/>
    <w:rsid w:val="2FE36023"/>
    <w:rsid w:val="2FE57FED"/>
    <w:rsid w:val="2FF67B04"/>
    <w:rsid w:val="2FFD70E5"/>
    <w:rsid w:val="30032B32"/>
    <w:rsid w:val="30105283"/>
    <w:rsid w:val="30197C97"/>
    <w:rsid w:val="302D7DBB"/>
    <w:rsid w:val="3030578F"/>
    <w:rsid w:val="303733FB"/>
    <w:rsid w:val="30424B3B"/>
    <w:rsid w:val="30466CDD"/>
    <w:rsid w:val="304940D8"/>
    <w:rsid w:val="304F36B8"/>
    <w:rsid w:val="30521B52"/>
    <w:rsid w:val="305B02AF"/>
    <w:rsid w:val="3067543E"/>
    <w:rsid w:val="306E7FE2"/>
    <w:rsid w:val="306F1B59"/>
    <w:rsid w:val="30742D8C"/>
    <w:rsid w:val="308415B4"/>
    <w:rsid w:val="30847806"/>
    <w:rsid w:val="308508D2"/>
    <w:rsid w:val="308771AA"/>
    <w:rsid w:val="3095600C"/>
    <w:rsid w:val="309D61D2"/>
    <w:rsid w:val="309F63EE"/>
    <w:rsid w:val="30A457B2"/>
    <w:rsid w:val="30A6152A"/>
    <w:rsid w:val="30B02BAD"/>
    <w:rsid w:val="30B579BF"/>
    <w:rsid w:val="30B8300C"/>
    <w:rsid w:val="30B96527"/>
    <w:rsid w:val="30C115AD"/>
    <w:rsid w:val="30C25A2F"/>
    <w:rsid w:val="30C839DD"/>
    <w:rsid w:val="30DF4A3C"/>
    <w:rsid w:val="30E107B4"/>
    <w:rsid w:val="30E20088"/>
    <w:rsid w:val="30E6401D"/>
    <w:rsid w:val="30FA3102"/>
    <w:rsid w:val="30FD5F50"/>
    <w:rsid w:val="3106521F"/>
    <w:rsid w:val="31091DE5"/>
    <w:rsid w:val="310A0D01"/>
    <w:rsid w:val="310B3A83"/>
    <w:rsid w:val="310E0C07"/>
    <w:rsid w:val="311D018D"/>
    <w:rsid w:val="311F752F"/>
    <w:rsid w:val="31232B7B"/>
    <w:rsid w:val="31264B85"/>
    <w:rsid w:val="31295CB7"/>
    <w:rsid w:val="3130762B"/>
    <w:rsid w:val="313308E4"/>
    <w:rsid w:val="313B47B1"/>
    <w:rsid w:val="31466869"/>
    <w:rsid w:val="31490108"/>
    <w:rsid w:val="31501496"/>
    <w:rsid w:val="31523460"/>
    <w:rsid w:val="3155736C"/>
    <w:rsid w:val="31562849"/>
    <w:rsid w:val="31572824"/>
    <w:rsid w:val="315A0567"/>
    <w:rsid w:val="315D04A6"/>
    <w:rsid w:val="31653193"/>
    <w:rsid w:val="31684A32"/>
    <w:rsid w:val="316A6166"/>
    <w:rsid w:val="316A7371"/>
    <w:rsid w:val="316B62D0"/>
    <w:rsid w:val="316C61B0"/>
    <w:rsid w:val="316D029A"/>
    <w:rsid w:val="31701B38"/>
    <w:rsid w:val="31717451"/>
    <w:rsid w:val="317653A0"/>
    <w:rsid w:val="31821B16"/>
    <w:rsid w:val="3183186B"/>
    <w:rsid w:val="318555E4"/>
    <w:rsid w:val="318B6972"/>
    <w:rsid w:val="318C26F7"/>
    <w:rsid w:val="318D6246"/>
    <w:rsid w:val="318F0210"/>
    <w:rsid w:val="31997EEC"/>
    <w:rsid w:val="319C292D"/>
    <w:rsid w:val="31A3127F"/>
    <w:rsid w:val="31AA06AE"/>
    <w:rsid w:val="31AF08B2"/>
    <w:rsid w:val="31B22151"/>
    <w:rsid w:val="31B23EFF"/>
    <w:rsid w:val="31B5579D"/>
    <w:rsid w:val="31B71515"/>
    <w:rsid w:val="31C53C32"/>
    <w:rsid w:val="31CB6D6E"/>
    <w:rsid w:val="31CC0DBF"/>
    <w:rsid w:val="31CD0D39"/>
    <w:rsid w:val="31D40319"/>
    <w:rsid w:val="31D47D83"/>
    <w:rsid w:val="31D64091"/>
    <w:rsid w:val="31E340B8"/>
    <w:rsid w:val="31E700F2"/>
    <w:rsid w:val="31F12C79"/>
    <w:rsid w:val="31F6203D"/>
    <w:rsid w:val="31FC517A"/>
    <w:rsid w:val="32043BB8"/>
    <w:rsid w:val="32075FF9"/>
    <w:rsid w:val="32081D71"/>
    <w:rsid w:val="3213336A"/>
    <w:rsid w:val="3215159A"/>
    <w:rsid w:val="32176B57"/>
    <w:rsid w:val="321D3A6E"/>
    <w:rsid w:val="321D46FF"/>
    <w:rsid w:val="321D7244"/>
    <w:rsid w:val="322546D1"/>
    <w:rsid w:val="322A49DC"/>
    <w:rsid w:val="323F0C10"/>
    <w:rsid w:val="32460F9B"/>
    <w:rsid w:val="32476D3D"/>
    <w:rsid w:val="32496611"/>
    <w:rsid w:val="3255781A"/>
    <w:rsid w:val="32586854"/>
    <w:rsid w:val="325E7BE3"/>
    <w:rsid w:val="32690A61"/>
    <w:rsid w:val="32743B56"/>
    <w:rsid w:val="328332AA"/>
    <w:rsid w:val="32880165"/>
    <w:rsid w:val="328D2734"/>
    <w:rsid w:val="3291511E"/>
    <w:rsid w:val="32936105"/>
    <w:rsid w:val="32980F88"/>
    <w:rsid w:val="329D4BAF"/>
    <w:rsid w:val="32B06690"/>
    <w:rsid w:val="32B229CF"/>
    <w:rsid w:val="32B90276"/>
    <w:rsid w:val="32C44BDA"/>
    <w:rsid w:val="32CA7101"/>
    <w:rsid w:val="32CC7242"/>
    <w:rsid w:val="32CD35B7"/>
    <w:rsid w:val="32CE2FBA"/>
    <w:rsid w:val="32D06D32"/>
    <w:rsid w:val="32D14E07"/>
    <w:rsid w:val="32DC7485"/>
    <w:rsid w:val="32DD14BC"/>
    <w:rsid w:val="32E0684A"/>
    <w:rsid w:val="32E96838"/>
    <w:rsid w:val="32ED1692"/>
    <w:rsid w:val="32F421C8"/>
    <w:rsid w:val="32FF5580"/>
    <w:rsid w:val="330118BA"/>
    <w:rsid w:val="33093FF2"/>
    <w:rsid w:val="330A60F0"/>
    <w:rsid w:val="330D3AE3"/>
    <w:rsid w:val="331035D3"/>
    <w:rsid w:val="331C5AD4"/>
    <w:rsid w:val="33202F76"/>
    <w:rsid w:val="332C6158"/>
    <w:rsid w:val="332D5F33"/>
    <w:rsid w:val="333A23FE"/>
    <w:rsid w:val="333E321F"/>
    <w:rsid w:val="3344327C"/>
    <w:rsid w:val="33452BAA"/>
    <w:rsid w:val="33484B1B"/>
    <w:rsid w:val="33501C21"/>
    <w:rsid w:val="335046C5"/>
    <w:rsid w:val="335334BF"/>
    <w:rsid w:val="33572FB0"/>
    <w:rsid w:val="33596D28"/>
    <w:rsid w:val="335B4D4D"/>
    <w:rsid w:val="335E1684"/>
    <w:rsid w:val="335F3C12"/>
    <w:rsid w:val="33632422"/>
    <w:rsid w:val="336779CB"/>
    <w:rsid w:val="33687493"/>
    <w:rsid w:val="33770F5C"/>
    <w:rsid w:val="337771AE"/>
    <w:rsid w:val="337C6572"/>
    <w:rsid w:val="33865643"/>
    <w:rsid w:val="338F44F8"/>
    <w:rsid w:val="339064C2"/>
    <w:rsid w:val="33922361"/>
    <w:rsid w:val="33945FB2"/>
    <w:rsid w:val="33997124"/>
    <w:rsid w:val="339C09C3"/>
    <w:rsid w:val="339D34F0"/>
    <w:rsid w:val="33A65CE5"/>
    <w:rsid w:val="33AA7583"/>
    <w:rsid w:val="33B169E4"/>
    <w:rsid w:val="33B37F5C"/>
    <w:rsid w:val="33B95A18"/>
    <w:rsid w:val="33D22636"/>
    <w:rsid w:val="33DB598F"/>
    <w:rsid w:val="33E3647C"/>
    <w:rsid w:val="33F26834"/>
    <w:rsid w:val="33F43F1C"/>
    <w:rsid w:val="33F46A50"/>
    <w:rsid w:val="34045566"/>
    <w:rsid w:val="34056568"/>
    <w:rsid w:val="34090125"/>
    <w:rsid w:val="34095E73"/>
    <w:rsid w:val="34126ED7"/>
    <w:rsid w:val="34270BD4"/>
    <w:rsid w:val="342C61EA"/>
    <w:rsid w:val="342D3D10"/>
    <w:rsid w:val="342D7A0D"/>
    <w:rsid w:val="342E2BB0"/>
    <w:rsid w:val="342E3B69"/>
    <w:rsid w:val="342F6A53"/>
    <w:rsid w:val="343706EB"/>
    <w:rsid w:val="343E7CCC"/>
    <w:rsid w:val="344A6670"/>
    <w:rsid w:val="344F1ED9"/>
    <w:rsid w:val="345C0152"/>
    <w:rsid w:val="345C1A8B"/>
    <w:rsid w:val="345E211C"/>
    <w:rsid w:val="34684D49"/>
    <w:rsid w:val="346A286F"/>
    <w:rsid w:val="34732BA2"/>
    <w:rsid w:val="348B1F6F"/>
    <w:rsid w:val="34AE6BFF"/>
    <w:rsid w:val="34B47F8E"/>
    <w:rsid w:val="34B61F58"/>
    <w:rsid w:val="34B63D06"/>
    <w:rsid w:val="34B77502"/>
    <w:rsid w:val="34BB30CA"/>
    <w:rsid w:val="34BD6E42"/>
    <w:rsid w:val="34CA155F"/>
    <w:rsid w:val="34D16D92"/>
    <w:rsid w:val="34D81ECE"/>
    <w:rsid w:val="34D83C7C"/>
    <w:rsid w:val="34DA3E98"/>
    <w:rsid w:val="34DA79F4"/>
    <w:rsid w:val="34EC1E8B"/>
    <w:rsid w:val="34FF745B"/>
    <w:rsid w:val="350E58F0"/>
    <w:rsid w:val="35101668"/>
    <w:rsid w:val="351463D7"/>
    <w:rsid w:val="3518750B"/>
    <w:rsid w:val="351A6043"/>
    <w:rsid w:val="351D3166"/>
    <w:rsid w:val="352275ED"/>
    <w:rsid w:val="352523B6"/>
    <w:rsid w:val="352549E8"/>
    <w:rsid w:val="35284C04"/>
    <w:rsid w:val="352E10F7"/>
    <w:rsid w:val="352E1C2F"/>
    <w:rsid w:val="353115DE"/>
    <w:rsid w:val="353C06AF"/>
    <w:rsid w:val="35431A3E"/>
    <w:rsid w:val="35450A4F"/>
    <w:rsid w:val="35453974"/>
    <w:rsid w:val="35560DE3"/>
    <w:rsid w:val="35571045"/>
    <w:rsid w:val="35586B6B"/>
    <w:rsid w:val="355D23D3"/>
    <w:rsid w:val="355E12E1"/>
    <w:rsid w:val="356113B3"/>
    <w:rsid w:val="35621AA5"/>
    <w:rsid w:val="3569521C"/>
    <w:rsid w:val="356D0868"/>
    <w:rsid w:val="357339A5"/>
    <w:rsid w:val="357E0FC2"/>
    <w:rsid w:val="3583008C"/>
    <w:rsid w:val="35843E04"/>
    <w:rsid w:val="358D5119"/>
    <w:rsid w:val="35904557"/>
    <w:rsid w:val="35951B6D"/>
    <w:rsid w:val="35953F47"/>
    <w:rsid w:val="35981D35"/>
    <w:rsid w:val="35A05E57"/>
    <w:rsid w:val="35A42E2F"/>
    <w:rsid w:val="35A72AEB"/>
    <w:rsid w:val="35AD209F"/>
    <w:rsid w:val="35AD335B"/>
    <w:rsid w:val="35BC17F0"/>
    <w:rsid w:val="35BE2E72"/>
    <w:rsid w:val="35C44201"/>
    <w:rsid w:val="35C661CB"/>
    <w:rsid w:val="35C87EC3"/>
    <w:rsid w:val="35CB37E1"/>
    <w:rsid w:val="35EB5C31"/>
    <w:rsid w:val="35EF74CF"/>
    <w:rsid w:val="35F5085E"/>
    <w:rsid w:val="35FA5E74"/>
    <w:rsid w:val="35FF348B"/>
    <w:rsid w:val="360016DD"/>
    <w:rsid w:val="36015455"/>
    <w:rsid w:val="36070CBD"/>
    <w:rsid w:val="36080591"/>
    <w:rsid w:val="360867E3"/>
    <w:rsid w:val="360F36CE"/>
    <w:rsid w:val="36127662"/>
    <w:rsid w:val="361320F7"/>
    <w:rsid w:val="361539CF"/>
    <w:rsid w:val="361A5A0E"/>
    <w:rsid w:val="361E7DB5"/>
    <w:rsid w:val="36251143"/>
    <w:rsid w:val="362B4B6B"/>
    <w:rsid w:val="362C76C9"/>
    <w:rsid w:val="36341386"/>
    <w:rsid w:val="36343134"/>
    <w:rsid w:val="363C5643"/>
    <w:rsid w:val="363C648D"/>
    <w:rsid w:val="363E498D"/>
    <w:rsid w:val="36405F7D"/>
    <w:rsid w:val="364552D3"/>
    <w:rsid w:val="36462E68"/>
    <w:rsid w:val="364729EA"/>
    <w:rsid w:val="364B0F2B"/>
    <w:rsid w:val="36525CB0"/>
    <w:rsid w:val="36533F02"/>
    <w:rsid w:val="365E6B01"/>
    <w:rsid w:val="36681030"/>
    <w:rsid w:val="366C0B20"/>
    <w:rsid w:val="366C1CEE"/>
    <w:rsid w:val="366F6862"/>
    <w:rsid w:val="367B6FB5"/>
    <w:rsid w:val="36910587"/>
    <w:rsid w:val="369260AD"/>
    <w:rsid w:val="36963DEF"/>
    <w:rsid w:val="36987B67"/>
    <w:rsid w:val="36987B77"/>
    <w:rsid w:val="369B1405"/>
    <w:rsid w:val="369B35A4"/>
    <w:rsid w:val="369C172B"/>
    <w:rsid w:val="36A22794"/>
    <w:rsid w:val="36AA4986"/>
    <w:rsid w:val="36AE3B5F"/>
    <w:rsid w:val="36B83D65"/>
    <w:rsid w:val="36BF3346"/>
    <w:rsid w:val="36C73D2D"/>
    <w:rsid w:val="36CA3A99"/>
    <w:rsid w:val="36CD78F0"/>
    <w:rsid w:val="36CF7301"/>
    <w:rsid w:val="36D16BD5"/>
    <w:rsid w:val="36D641EB"/>
    <w:rsid w:val="36DD4843"/>
    <w:rsid w:val="36E23D88"/>
    <w:rsid w:val="36E90FF1"/>
    <w:rsid w:val="36EC3A0F"/>
    <w:rsid w:val="36F11025"/>
    <w:rsid w:val="36F1614D"/>
    <w:rsid w:val="36F57A87"/>
    <w:rsid w:val="36F814EF"/>
    <w:rsid w:val="36F8344F"/>
    <w:rsid w:val="37026C56"/>
    <w:rsid w:val="370545F3"/>
    <w:rsid w:val="37074CED"/>
    <w:rsid w:val="37076A9B"/>
    <w:rsid w:val="37083255"/>
    <w:rsid w:val="371116C7"/>
    <w:rsid w:val="37130B5C"/>
    <w:rsid w:val="37166CDE"/>
    <w:rsid w:val="371A057C"/>
    <w:rsid w:val="3720417F"/>
    <w:rsid w:val="372907BF"/>
    <w:rsid w:val="372C4753"/>
    <w:rsid w:val="372D6FE6"/>
    <w:rsid w:val="37313879"/>
    <w:rsid w:val="373A0C1E"/>
    <w:rsid w:val="3747231F"/>
    <w:rsid w:val="374750E9"/>
    <w:rsid w:val="376161AB"/>
    <w:rsid w:val="37666E72"/>
    <w:rsid w:val="3771662B"/>
    <w:rsid w:val="37720ED7"/>
    <w:rsid w:val="377759CE"/>
    <w:rsid w:val="377A726D"/>
    <w:rsid w:val="377C4D93"/>
    <w:rsid w:val="37906A90"/>
    <w:rsid w:val="37915737"/>
    <w:rsid w:val="37977E1F"/>
    <w:rsid w:val="379A346B"/>
    <w:rsid w:val="379C5435"/>
    <w:rsid w:val="37A17057"/>
    <w:rsid w:val="37A662B4"/>
    <w:rsid w:val="37AB5678"/>
    <w:rsid w:val="37AC0C24"/>
    <w:rsid w:val="37B07132"/>
    <w:rsid w:val="37B44180"/>
    <w:rsid w:val="37B704C1"/>
    <w:rsid w:val="37B81B43"/>
    <w:rsid w:val="37BA3B0D"/>
    <w:rsid w:val="37C97B18"/>
    <w:rsid w:val="37CA01F4"/>
    <w:rsid w:val="37CD55EE"/>
    <w:rsid w:val="37CE1367"/>
    <w:rsid w:val="37D526F5"/>
    <w:rsid w:val="37D5475E"/>
    <w:rsid w:val="37D720D8"/>
    <w:rsid w:val="37DA41AF"/>
    <w:rsid w:val="37DE3AB3"/>
    <w:rsid w:val="37E172EC"/>
    <w:rsid w:val="37E24032"/>
    <w:rsid w:val="37E969A2"/>
    <w:rsid w:val="37ED00DB"/>
    <w:rsid w:val="37FA215C"/>
    <w:rsid w:val="37FF7F7F"/>
    <w:rsid w:val="38037262"/>
    <w:rsid w:val="380A2AAF"/>
    <w:rsid w:val="380D1430"/>
    <w:rsid w:val="380D1E8F"/>
    <w:rsid w:val="380D38A8"/>
    <w:rsid w:val="380F26FB"/>
    <w:rsid w:val="380F6006"/>
    <w:rsid w:val="3810197F"/>
    <w:rsid w:val="3814146F"/>
    <w:rsid w:val="3816748C"/>
    <w:rsid w:val="38172D0E"/>
    <w:rsid w:val="38174ABC"/>
    <w:rsid w:val="38205FE2"/>
    <w:rsid w:val="38233460"/>
    <w:rsid w:val="382D36AA"/>
    <w:rsid w:val="382F6BDA"/>
    <w:rsid w:val="3833774F"/>
    <w:rsid w:val="3837515E"/>
    <w:rsid w:val="384405FD"/>
    <w:rsid w:val="385B3F2A"/>
    <w:rsid w:val="385C2E16"/>
    <w:rsid w:val="3862667F"/>
    <w:rsid w:val="38637D01"/>
    <w:rsid w:val="38646D95"/>
    <w:rsid w:val="386977F7"/>
    <w:rsid w:val="386D6DD1"/>
    <w:rsid w:val="38765C86"/>
    <w:rsid w:val="38795776"/>
    <w:rsid w:val="38822138"/>
    <w:rsid w:val="38875604"/>
    <w:rsid w:val="388F3B0F"/>
    <w:rsid w:val="388F6D48"/>
    <w:rsid w:val="389425B0"/>
    <w:rsid w:val="38995E18"/>
    <w:rsid w:val="389D1465"/>
    <w:rsid w:val="38A02D03"/>
    <w:rsid w:val="38A71143"/>
    <w:rsid w:val="38B16CBE"/>
    <w:rsid w:val="38B8629F"/>
    <w:rsid w:val="38C87A65"/>
    <w:rsid w:val="38CC3AF8"/>
    <w:rsid w:val="38CC58A6"/>
    <w:rsid w:val="38DB01DF"/>
    <w:rsid w:val="38E54BBA"/>
    <w:rsid w:val="38EA21D0"/>
    <w:rsid w:val="38EB1BA0"/>
    <w:rsid w:val="38EF5A38"/>
    <w:rsid w:val="38F24410"/>
    <w:rsid w:val="38F60B75"/>
    <w:rsid w:val="38F76303"/>
    <w:rsid w:val="38FE7A29"/>
    <w:rsid w:val="39093AF2"/>
    <w:rsid w:val="39094D4C"/>
    <w:rsid w:val="39110376"/>
    <w:rsid w:val="39111178"/>
    <w:rsid w:val="391B05DB"/>
    <w:rsid w:val="391C1FA1"/>
    <w:rsid w:val="391D7D7F"/>
    <w:rsid w:val="39207CEA"/>
    <w:rsid w:val="392A5BA3"/>
    <w:rsid w:val="392C17E8"/>
    <w:rsid w:val="392F65AB"/>
    <w:rsid w:val="393C6ED0"/>
    <w:rsid w:val="394418E0"/>
    <w:rsid w:val="394538AA"/>
    <w:rsid w:val="394E6C03"/>
    <w:rsid w:val="3958538C"/>
    <w:rsid w:val="39643D30"/>
    <w:rsid w:val="396F1B47"/>
    <w:rsid w:val="397B72CC"/>
    <w:rsid w:val="397F6DBC"/>
    <w:rsid w:val="3982065B"/>
    <w:rsid w:val="398839EE"/>
    <w:rsid w:val="398B39B3"/>
    <w:rsid w:val="398C3AD5"/>
    <w:rsid w:val="398E418A"/>
    <w:rsid w:val="399161E1"/>
    <w:rsid w:val="39972358"/>
    <w:rsid w:val="399A3BF6"/>
    <w:rsid w:val="399A59A4"/>
    <w:rsid w:val="399E4B37"/>
    <w:rsid w:val="399F120C"/>
    <w:rsid w:val="39A13EE2"/>
    <w:rsid w:val="39A16D33"/>
    <w:rsid w:val="39AC16A8"/>
    <w:rsid w:val="39B8407C"/>
    <w:rsid w:val="39C11183"/>
    <w:rsid w:val="39C12F31"/>
    <w:rsid w:val="39C72511"/>
    <w:rsid w:val="39C90037"/>
    <w:rsid w:val="39C96289"/>
    <w:rsid w:val="39CB39E5"/>
    <w:rsid w:val="39CD3FCC"/>
    <w:rsid w:val="39D23390"/>
    <w:rsid w:val="39D72754"/>
    <w:rsid w:val="39D94F13"/>
    <w:rsid w:val="39DD6125"/>
    <w:rsid w:val="39E60BE9"/>
    <w:rsid w:val="39E66E3B"/>
    <w:rsid w:val="39F10534"/>
    <w:rsid w:val="39F13F9D"/>
    <w:rsid w:val="39F5707E"/>
    <w:rsid w:val="39F72DF7"/>
    <w:rsid w:val="39F8091D"/>
    <w:rsid w:val="3A0168D3"/>
    <w:rsid w:val="3A16675B"/>
    <w:rsid w:val="3A20624E"/>
    <w:rsid w:val="3A281202"/>
    <w:rsid w:val="3A287454"/>
    <w:rsid w:val="3A29564D"/>
    <w:rsid w:val="3A2B5159"/>
    <w:rsid w:val="3A2D05C6"/>
    <w:rsid w:val="3A377697"/>
    <w:rsid w:val="3A3A65D2"/>
    <w:rsid w:val="3A415CE7"/>
    <w:rsid w:val="3A451DB4"/>
    <w:rsid w:val="3A4A2358"/>
    <w:rsid w:val="3A4B3142"/>
    <w:rsid w:val="3A5244D1"/>
    <w:rsid w:val="3A592492"/>
    <w:rsid w:val="3A6164C2"/>
    <w:rsid w:val="3A63223A"/>
    <w:rsid w:val="3A63788B"/>
    <w:rsid w:val="3A68164F"/>
    <w:rsid w:val="3A6F6B7F"/>
    <w:rsid w:val="3A712BA9"/>
    <w:rsid w:val="3A762B9F"/>
    <w:rsid w:val="3A766411"/>
    <w:rsid w:val="3A83468A"/>
    <w:rsid w:val="3A834838"/>
    <w:rsid w:val="3A8521B0"/>
    <w:rsid w:val="3A874A9B"/>
    <w:rsid w:val="3A920212"/>
    <w:rsid w:val="3A976388"/>
    <w:rsid w:val="3A9A190D"/>
    <w:rsid w:val="3A9B5E78"/>
    <w:rsid w:val="3A9E3272"/>
    <w:rsid w:val="3A9E7716"/>
    <w:rsid w:val="3AA36ADA"/>
    <w:rsid w:val="3AA7481D"/>
    <w:rsid w:val="3AAA1C17"/>
    <w:rsid w:val="3AAC1E33"/>
    <w:rsid w:val="3AC04D69"/>
    <w:rsid w:val="3AC058DE"/>
    <w:rsid w:val="3AC151B3"/>
    <w:rsid w:val="3AC52EF5"/>
    <w:rsid w:val="3AC727C9"/>
    <w:rsid w:val="3AC802EF"/>
    <w:rsid w:val="3AC86A20"/>
    <w:rsid w:val="3AD35612"/>
    <w:rsid w:val="3AD512AA"/>
    <w:rsid w:val="3ADD023E"/>
    <w:rsid w:val="3AEA0046"/>
    <w:rsid w:val="3AF67C62"/>
    <w:rsid w:val="3AFB06C4"/>
    <w:rsid w:val="3AFE373D"/>
    <w:rsid w:val="3B082DE1"/>
    <w:rsid w:val="3B143534"/>
    <w:rsid w:val="3B2102F3"/>
    <w:rsid w:val="3B217306"/>
    <w:rsid w:val="3B2306F7"/>
    <w:rsid w:val="3B236D85"/>
    <w:rsid w:val="3B286FE0"/>
    <w:rsid w:val="3B2A71FC"/>
    <w:rsid w:val="3B375F3D"/>
    <w:rsid w:val="3B3955B9"/>
    <w:rsid w:val="3B3C613D"/>
    <w:rsid w:val="3B445B48"/>
    <w:rsid w:val="3B4958D4"/>
    <w:rsid w:val="3B497682"/>
    <w:rsid w:val="3B4B4B21"/>
    <w:rsid w:val="3B4E3ED9"/>
    <w:rsid w:val="3B547DD5"/>
    <w:rsid w:val="3B586622"/>
    <w:rsid w:val="3B592557"/>
    <w:rsid w:val="3B60677A"/>
    <w:rsid w:val="3B69515A"/>
    <w:rsid w:val="3B6E7B3C"/>
    <w:rsid w:val="3B750477"/>
    <w:rsid w:val="3B781D15"/>
    <w:rsid w:val="3B8369B4"/>
    <w:rsid w:val="3B936B4F"/>
    <w:rsid w:val="3B9967E9"/>
    <w:rsid w:val="3B9C6D60"/>
    <w:rsid w:val="3B9E2D42"/>
    <w:rsid w:val="3BAE5737"/>
    <w:rsid w:val="3BAF52E8"/>
    <w:rsid w:val="3BAF5CA1"/>
    <w:rsid w:val="3BB6283D"/>
    <w:rsid w:val="3BC46D08"/>
    <w:rsid w:val="3BC62A80"/>
    <w:rsid w:val="3BCB4CCC"/>
    <w:rsid w:val="3BCC6D26"/>
    <w:rsid w:val="3BCF572C"/>
    <w:rsid w:val="3BD776F8"/>
    <w:rsid w:val="3BD866A3"/>
    <w:rsid w:val="3BDFDFA0"/>
    <w:rsid w:val="3BE21884"/>
    <w:rsid w:val="3BE23632"/>
    <w:rsid w:val="3BE25BF8"/>
    <w:rsid w:val="3BE35FDF"/>
    <w:rsid w:val="3BE556D1"/>
    <w:rsid w:val="3BE706E7"/>
    <w:rsid w:val="3BEE1FD7"/>
    <w:rsid w:val="3BF04354"/>
    <w:rsid w:val="3BF257CA"/>
    <w:rsid w:val="3BF50BE0"/>
    <w:rsid w:val="3BF61FFF"/>
    <w:rsid w:val="3BFA4A25"/>
    <w:rsid w:val="3C017F5D"/>
    <w:rsid w:val="3C030DDB"/>
    <w:rsid w:val="3C0435A9"/>
    <w:rsid w:val="3C1479B6"/>
    <w:rsid w:val="3C16141A"/>
    <w:rsid w:val="3C166A9C"/>
    <w:rsid w:val="3C1862A7"/>
    <w:rsid w:val="3C191D33"/>
    <w:rsid w:val="3C1B7DA9"/>
    <w:rsid w:val="3C1E0B0E"/>
    <w:rsid w:val="3C236125"/>
    <w:rsid w:val="3C357274"/>
    <w:rsid w:val="3C3C2D43"/>
    <w:rsid w:val="3C3F0A85"/>
    <w:rsid w:val="3C44649B"/>
    <w:rsid w:val="3C5157EC"/>
    <w:rsid w:val="3C5F1237"/>
    <w:rsid w:val="3C636895"/>
    <w:rsid w:val="3C64775A"/>
    <w:rsid w:val="3C677D0F"/>
    <w:rsid w:val="3C6C354C"/>
    <w:rsid w:val="3C795D45"/>
    <w:rsid w:val="3C7A528F"/>
    <w:rsid w:val="3C7A782B"/>
    <w:rsid w:val="3C7F70D3"/>
    <w:rsid w:val="3C8051A6"/>
    <w:rsid w:val="3C83241C"/>
    <w:rsid w:val="3C8868DA"/>
    <w:rsid w:val="3C8C1F1C"/>
    <w:rsid w:val="3C8D359E"/>
    <w:rsid w:val="3CA2064A"/>
    <w:rsid w:val="3CA664F9"/>
    <w:rsid w:val="3CB322FE"/>
    <w:rsid w:val="3CB4315E"/>
    <w:rsid w:val="3CBB684E"/>
    <w:rsid w:val="3CBD4F57"/>
    <w:rsid w:val="3CBE5F7F"/>
    <w:rsid w:val="3CC03974"/>
    <w:rsid w:val="3CC05722"/>
    <w:rsid w:val="3CC2593E"/>
    <w:rsid w:val="3CC33464"/>
    <w:rsid w:val="3CCA2A44"/>
    <w:rsid w:val="3CCD42E3"/>
    <w:rsid w:val="3CCD7E3F"/>
    <w:rsid w:val="3CD10151"/>
    <w:rsid w:val="3CE66579"/>
    <w:rsid w:val="3CE67580"/>
    <w:rsid w:val="3CEA279F"/>
    <w:rsid w:val="3CEE1ABD"/>
    <w:rsid w:val="3CEF3309"/>
    <w:rsid w:val="3CF4361D"/>
    <w:rsid w:val="3CF44E27"/>
    <w:rsid w:val="3CF655E7"/>
    <w:rsid w:val="3D000214"/>
    <w:rsid w:val="3D0474A1"/>
    <w:rsid w:val="3D0F65E2"/>
    <w:rsid w:val="3D121CF5"/>
    <w:rsid w:val="3D28027C"/>
    <w:rsid w:val="3D31714F"/>
    <w:rsid w:val="3D36335D"/>
    <w:rsid w:val="3D3B749E"/>
    <w:rsid w:val="3D3C6CA4"/>
    <w:rsid w:val="3D421E06"/>
    <w:rsid w:val="3D450373"/>
    <w:rsid w:val="3D4A138E"/>
    <w:rsid w:val="3D4E5423"/>
    <w:rsid w:val="3D536596"/>
    <w:rsid w:val="3D556642"/>
    <w:rsid w:val="3D5A3DC8"/>
    <w:rsid w:val="3D5E4603"/>
    <w:rsid w:val="3D5F6534"/>
    <w:rsid w:val="3D5F6948"/>
    <w:rsid w:val="3D69013E"/>
    <w:rsid w:val="3D7353BD"/>
    <w:rsid w:val="3D7D1865"/>
    <w:rsid w:val="3D804EB1"/>
    <w:rsid w:val="3D8255C6"/>
    <w:rsid w:val="3D85696B"/>
    <w:rsid w:val="3D931088"/>
    <w:rsid w:val="3D956BAE"/>
    <w:rsid w:val="3D964B65"/>
    <w:rsid w:val="3D98044D"/>
    <w:rsid w:val="3D994F0A"/>
    <w:rsid w:val="3DA07301"/>
    <w:rsid w:val="3DA17D45"/>
    <w:rsid w:val="3DA908AC"/>
    <w:rsid w:val="3DA94408"/>
    <w:rsid w:val="3DAA0180"/>
    <w:rsid w:val="3DAB5EF3"/>
    <w:rsid w:val="3DB159B2"/>
    <w:rsid w:val="3DB8019C"/>
    <w:rsid w:val="3DBB413B"/>
    <w:rsid w:val="3DBC05DF"/>
    <w:rsid w:val="3DBD0841"/>
    <w:rsid w:val="3DC15568"/>
    <w:rsid w:val="3DC54FBA"/>
    <w:rsid w:val="3DCC36B0"/>
    <w:rsid w:val="3DD05E38"/>
    <w:rsid w:val="3DD54D90"/>
    <w:rsid w:val="3DDC2A2F"/>
    <w:rsid w:val="3DDD67A7"/>
    <w:rsid w:val="3DE414A6"/>
    <w:rsid w:val="3DF12237"/>
    <w:rsid w:val="3DF5589F"/>
    <w:rsid w:val="3DF71617"/>
    <w:rsid w:val="3DF918B9"/>
    <w:rsid w:val="3E041634"/>
    <w:rsid w:val="3E09134A"/>
    <w:rsid w:val="3E0D055A"/>
    <w:rsid w:val="3E0E05B4"/>
    <w:rsid w:val="3E10092B"/>
    <w:rsid w:val="3E171CB9"/>
    <w:rsid w:val="3E1F3FDE"/>
    <w:rsid w:val="3E216694"/>
    <w:rsid w:val="3E295549"/>
    <w:rsid w:val="3E2C6956"/>
    <w:rsid w:val="3E3A1504"/>
    <w:rsid w:val="3E421B89"/>
    <w:rsid w:val="3E483694"/>
    <w:rsid w:val="3E483C21"/>
    <w:rsid w:val="3E491F22"/>
    <w:rsid w:val="3E557A55"/>
    <w:rsid w:val="3E5638B9"/>
    <w:rsid w:val="3E693B97"/>
    <w:rsid w:val="3E6E11AD"/>
    <w:rsid w:val="3E7A3858"/>
    <w:rsid w:val="3E7B243B"/>
    <w:rsid w:val="3E7B6F01"/>
    <w:rsid w:val="3E854E75"/>
    <w:rsid w:val="3E874A5D"/>
    <w:rsid w:val="3E8A33A6"/>
    <w:rsid w:val="3E907376"/>
    <w:rsid w:val="3E925F20"/>
    <w:rsid w:val="3E951F7E"/>
    <w:rsid w:val="3E952BDE"/>
    <w:rsid w:val="3EA6303D"/>
    <w:rsid w:val="3EA82911"/>
    <w:rsid w:val="3EAE1BA1"/>
    <w:rsid w:val="3EAE3F20"/>
    <w:rsid w:val="3EAF2499"/>
    <w:rsid w:val="3EB412B6"/>
    <w:rsid w:val="3EB968CD"/>
    <w:rsid w:val="3EBC460F"/>
    <w:rsid w:val="3EC05EAD"/>
    <w:rsid w:val="3EC139D3"/>
    <w:rsid w:val="3EC66817"/>
    <w:rsid w:val="3EC967DD"/>
    <w:rsid w:val="3ED25BE0"/>
    <w:rsid w:val="3ED41958"/>
    <w:rsid w:val="3ED43B6C"/>
    <w:rsid w:val="3EDA6843"/>
    <w:rsid w:val="3EE40309"/>
    <w:rsid w:val="3EE967B3"/>
    <w:rsid w:val="3EF5367D"/>
    <w:rsid w:val="3EFB6EE5"/>
    <w:rsid w:val="3EFC5866"/>
    <w:rsid w:val="3EFD0EAF"/>
    <w:rsid w:val="3F03223E"/>
    <w:rsid w:val="3F06588A"/>
    <w:rsid w:val="3F0A4915"/>
    <w:rsid w:val="3F0C10F2"/>
    <w:rsid w:val="3F1B30E3"/>
    <w:rsid w:val="3F1B49F5"/>
    <w:rsid w:val="3F1C0717"/>
    <w:rsid w:val="3F214DC8"/>
    <w:rsid w:val="3F244D49"/>
    <w:rsid w:val="3F2621FF"/>
    <w:rsid w:val="3F282FB9"/>
    <w:rsid w:val="3F2B13E8"/>
    <w:rsid w:val="3F2D6433"/>
    <w:rsid w:val="3F3423F7"/>
    <w:rsid w:val="3F3643C1"/>
    <w:rsid w:val="3F3B5533"/>
    <w:rsid w:val="3F3D74FE"/>
    <w:rsid w:val="3F446ADE"/>
    <w:rsid w:val="3F472661"/>
    <w:rsid w:val="3F4D5267"/>
    <w:rsid w:val="3F5078EC"/>
    <w:rsid w:val="3F516B05"/>
    <w:rsid w:val="3F5605BF"/>
    <w:rsid w:val="3F5C4DA1"/>
    <w:rsid w:val="3F640458"/>
    <w:rsid w:val="3F6A0F1B"/>
    <w:rsid w:val="3F716AD8"/>
    <w:rsid w:val="3F724CCD"/>
    <w:rsid w:val="3F742CEC"/>
    <w:rsid w:val="3F7659E6"/>
    <w:rsid w:val="3F7A3C77"/>
    <w:rsid w:val="3F850146"/>
    <w:rsid w:val="3FA0183A"/>
    <w:rsid w:val="3FA27F1B"/>
    <w:rsid w:val="3FAA4467"/>
    <w:rsid w:val="3FB02598"/>
    <w:rsid w:val="3FB40A7E"/>
    <w:rsid w:val="3FB928FC"/>
    <w:rsid w:val="3FBD250E"/>
    <w:rsid w:val="3FBE399E"/>
    <w:rsid w:val="3FC46504"/>
    <w:rsid w:val="3FC65745"/>
    <w:rsid w:val="3FCF1DDB"/>
    <w:rsid w:val="3FCF35E7"/>
    <w:rsid w:val="3FE77469"/>
    <w:rsid w:val="3FE91433"/>
    <w:rsid w:val="3FEA0D08"/>
    <w:rsid w:val="3FF34060"/>
    <w:rsid w:val="3FF75DF7"/>
    <w:rsid w:val="3FFBD6A3"/>
    <w:rsid w:val="40007639"/>
    <w:rsid w:val="40020685"/>
    <w:rsid w:val="40037546"/>
    <w:rsid w:val="40063D93"/>
    <w:rsid w:val="400E49F6"/>
    <w:rsid w:val="40153057"/>
    <w:rsid w:val="401B7113"/>
    <w:rsid w:val="401C35B7"/>
    <w:rsid w:val="401F7FA5"/>
    <w:rsid w:val="402E40AE"/>
    <w:rsid w:val="403D4072"/>
    <w:rsid w:val="403F2E01"/>
    <w:rsid w:val="40416B7A"/>
    <w:rsid w:val="40436D96"/>
    <w:rsid w:val="404460E7"/>
    <w:rsid w:val="404B3E9C"/>
    <w:rsid w:val="40571F4B"/>
    <w:rsid w:val="405F416C"/>
    <w:rsid w:val="40694322"/>
    <w:rsid w:val="406B3BF6"/>
    <w:rsid w:val="406C0273"/>
    <w:rsid w:val="40754A75"/>
    <w:rsid w:val="40756F8A"/>
    <w:rsid w:val="40774C91"/>
    <w:rsid w:val="408620E0"/>
    <w:rsid w:val="408B24EB"/>
    <w:rsid w:val="409A272E"/>
    <w:rsid w:val="409A44DC"/>
    <w:rsid w:val="40A2699D"/>
    <w:rsid w:val="40AE30AC"/>
    <w:rsid w:val="40B21825"/>
    <w:rsid w:val="40BA4B7E"/>
    <w:rsid w:val="40BA692C"/>
    <w:rsid w:val="40BC08F6"/>
    <w:rsid w:val="40C61775"/>
    <w:rsid w:val="40CE4A65"/>
    <w:rsid w:val="40D21EC7"/>
    <w:rsid w:val="40D24EFC"/>
    <w:rsid w:val="40D54EF6"/>
    <w:rsid w:val="40DA6139"/>
    <w:rsid w:val="40DB1852"/>
    <w:rsid w:val="40E67721"/>
    <w:rsid w:val="40F07398"/>
    <w:rsid w:val="40F40090"/>
    <w:rsid w:val="40FF632E"/>
    <w:rsid w:val="41011F2E"/>
    <w:rsid w:val="410A1661"/>
    <w:rsid w:val="41202C33"/>
    <w:rsid w:val="412344D1"/>
    <w:rsid w:val="4125656E"/>
    <w:rsid w:val="41391F47"/>
    <w:rsid w:val="41404B99"/>
    <w:rsid w:val="414A4154"/>
    <w:rsid w:val="414E0433"/>
    <w:rsid w:val="414F4CC6"/>
    <w:rsid w:val="415512BB"/>
    <w:rsid w:val="41585AC3"/>
    <w:rsid w:val="41597EF3"/>
    <w:rsid w:val="415F7893"/>
    <w:rsid w:val="41652D3C"/>
    <w:rsid w:val="416E7A1D"/>
    <w:rsid w:val="41766CF7"/>
    <w:rsid w:val="417E7959"/>
    <w:rsid w:val="418340EB"/>
    <w:rsid w:val="41853C98"/>
    <w:rsid w:val="418F7DB9"/>
    <w:rsid w:val="41913B31"/>
    <w:rsid w:val="41957BAD"/>
    <w:rsid w:val="419929E5"/>
    <w:rsid w:val="419B675D"/>
    <w:rsid w:val="41A35612"/>
    <w:rsid w:val="41A710C5"/>
    <w:rsid w:val="41A73354"/>
    <w:rsid w:val="41AD4111"/>
    <w:rsid w:val="41AF2A8F"/>
    <w:rsid w:val="41B94863"/>
    <w:rsid w:val="41BE1E20"/>
    <w:rsid w:val="41C574C2"/>
    <w:rsid w:val="41C932CA"/>
    <w:rsid w:val="41D35EF7"/>
    <w:rsid w:val="41D4300C"/>
    <w:rsid w:val="41E021DD"/>
    <w:rsid w:val="41E81B2F"/>
    <w:rsid w:val="41E92231"/>
    <w:rsid w:val="41EA2349"/>
    <w:rsid w:val="41F1637D"/>
    <w:rsid w:val="41F36599"/>
    <w:rsid w:val="41F93484"/>
    <w:rsid w:val="420C2FE8"/>
    <w:rsid w:val="420E773A"/>
    <w:rsid w:val="421B6E12"/>
    <w:rsid w:val="42277FF1"/>
    <w:rsid w:val="422A3295"/>
    <w:rsid w:val="42316017"/>
    <w:rsid w:val="42381210"/>
    <w:rsid w:val="42386A23"/>
    <w:rsid w:val="4242307D"/>
    <w:rsid w:val="4249440B"/>
    <w:rsid w:val="424F0C38"/>
    <w:rsid w:val="425D7EB7"/>
    <w:rsid w:val="426B4382"/>
    <w:rsid w:val="42786A9F"/>
    <w:rsid w:val="428A713A"/>
    <w:rsid w:val="428C2B5A"/>
    <w:rsid w:val="42957651"/>
    <w:rsid w:val="42A55765"/>
    <w:rsid w:val="42A653BA"/>
    <w:rsid w:val="42A72EE0"/>
    <w:rsid w:val="42B9463D"/>
    <w:rsid w:val="42BC4BDD"/>
    <w:rsid w:val="42BE6BA7"/>
    <w:rsid w:val="42BF647C"/>
    <w:rsid w:val="42C57F36"/>
    <w:rsid w:val="42CA1C36"/>
    <w:rsid w:val="42CF2B62"/>
    <w:rsid w:val="42D31F27"/>
    <w:rsid w:val="42D425E0"/>
    <w:rsid w:val="42D86880"/>
    <w:rsid w:val="42DC527F"/>
    <w:rsid w:val="42F17338"/>
    <w:rsid w:val="42F223AD"/>
    <w:rsid w:val="42F33601"/>
    <w:rsid w:val="42F779C3"/>
    <w:rsid w:val="42FC7797"/>
    <w:rsid w:val="42FF4ACA"/>
    <w:rsid w:val="43016A94"/>
    <w:rsid w:val="4304433B"/>
    <w:rsid w:val="4316349F"/>
    <w:rsid w:val="431B681F"/>
    <w:rsid w:val="4326474D"/>
    <w:rsid w:val="43275728"/>
    <w:rsid w:val="432804C5"/>
    <w:rsid w:val="432C37D2"/>
    <w:rsid w:val="43390D28"/>
    <w:rsid w:val="43474762"/>
    <w:rsid w:val="4348021F"/>
    <w:rsid w:val="43485C78"/>
    <w:rsid w:val="434D1CD9"/>
    <w:rsid w:val="43503578"/>
    <w:rsid w:val="43543068"/>
    <w:rsid w:val="43747266"/>
    <w:rsid w:val="43770B04"/>
    <w:rsid w:val="437C5F7F"/>
    <w:rsid w:val="438354BF"/>
    <w:rsid w:val="438374A9"/>
    <w:rsid w:val="43880F63"/>
    <w:rsid w:val="43943464"/>
    <w:rsid w:val="43994F1E"/>
    <w:rsid w:val="43A044FF"/>
    <w:rsid w:val="43A24383"/>
    <w:rsid w:val="43A63197"/>
    <w:rsid w:val="43A64235"/>
    <w:rsid w:val="43A86F10"/>
    <w:rsid w:val="43B9111D"/>
    <w:rsid w:val="43BB30E7"/>
    <w:rsid w:val="43C11372"/>
    <w:rsid w:val="43C33D49"/>
    <w:rsid w:val="43CC2BFE"/>
    <w:rsid w:val="43D17451"/>
    <w:rsid w:val="43E50164"/>
    <w:rsid w:val="43F6411F"/>
    <w:rsid w:val="44004F9E"/>
    <w:rsid w:val="44054362"/>
    <w:rsid w:val="4407106E"/>
    <w:rsid w:val="440950CF"/>
    <w:rsid w:val="441509E5"/>
    <w:rsid w:val="441E71D2"/>
    <w:rsid w:val="44254A04"/>
    <w:rsid w:val="442A48FC"/>
    <w:rsid w:val="443133A9"/>
    <w:rsid w:val="4440539A"/>
    <w:rsid w:val="44467B25"/>
    <w:rsid w:val="444D2A0A"/>
    <w:rsid w:val="445157F9"/>
    <w:rsid w:val="44531FA9"/>
    <w:rsid w:val="445D7CFA"/>
    <w:rsid w:val="44626E27"/>
    <w:rsid w:val="44654E01"/>
    <w:rsid w:val="44676DCB"/>
    <w:rsid w:val="44683EB3"/>
    <w:rsid w:val="446A2417"/>
    <w:rsid w:val="44790734"/>
    <w:rsid w:val="447C2876"/>
    <w:rsid w:val="448259B3"/>
    <w:rsid w:val="44883168"/>
    <w:rsid w:val="448B1C34"/>
    <w:rsid w:val="44934EDA"/>
    <w:rsid w:val="44963CD1"/>
    <w:rsid w:val="449F0313"/>
    <w:rsid w:val="449F47B6"/>
    <w:rsid w:val="44A7704D"/>
    <w:rsid w:val="44AE67A8"/>
    <w:rsid w:val="44B412EF"/>
    <w:rsid w:val="44B440F1"/>
    <w:rsid w:val="44B87626"/>
    <w:rsid w:val="44BC4C26"/>
    <w:rsid w:val="44BE0720"/>
    <w:rsid w:val="44C2005E"/>
    <w:rsid w:val="44C935E1"/>
    <w:rsid w:val="44C9538F"/>
    <w:rsid w:val="44CD5094"/>
    <w:rsid w:val="44CE29A6"/>
    <w:rsid w:val="44D3620E"/>
    <w:rsid w:val="44D738BB"/>
    <w:rsid w:val="44DE055D"/>
    <w:rsid w:val="44E56D05"/>
    <w:rsid w:val="44EA2FFA"/>
    <w:rsid w:val="44EC204C"/>
    <w:rsid w:val="44EE3048"/>
    <w:rsid w:val="44F22B38"/>
    <w:rsid w:val="44F945B6"/>
    <w:rsid w:val="44FA19ED"/>
    <w:rsid w:val="45124F88"/>
    <w:rsid w:val="45132AAF"/>
    <w:rsid w:val="4517259F"/>
    <w:rsid w:val="452151CC"/>
    <w:rsid w:val="45252F0E"/>
    <w:rsid w:val="453C0257"/>
    <w:rsid w:val="454743B4"/>
    <w:rsid w:val="454763C3"/>
    <w:rsid w:val="45486BFC"/>
    <w:rsid w:val="454C2A87"/>
    <w:rsid w:val="454C3E11"/>
    <w:rsid w:val="4550160D"/>
    <w:rsid w:val="45562AD0"/>
    <w:rsid w:val="45652DA3"/>
    <w:rsid w:val="45832501"/>
    <w:rsid w:val="458610A1"/>
    <w:rsid w:val="458E3B2C"/>
    <w:rsid w:val="4597133B"/>
    <w:rsid w:val="45A2455E"/>
    <w:rsid w:val="45A3734C"/>
    <w:rsid w:val="45A538EE"/>
    <w:rsid w:val="45A831F7"/>
    <w:rsid w:val="45AC5885"/>
    <w:rsid w:val="45AF27D7"/>
    <w:rsid w:val="45B24076"/>
    <w:rsid w:val="45B278E9"/>
    <w:rsid w:val="45B63B66"/>
    <w:rsid w:val="45B87FF3"/>
    <w:rsid w:val="45C9178A"/>
    <w:rsid w:val="45CF69D6"/>
    <w:rsid w:val="45DB35CC"/>
    <w:rsid w:val="45DC10F2"/>
    <w:rsid w:val="45DD5596"/>
    <w:rsid w:val="45DD5636"/>
    <w:rsid w:val="45E2495B"/>
    <w:rsid w:val="45EE1552"/>
    <w:rsid w:val="45F416D5"/>
    <w:rsid w:val="46026DAB"/>
    <w:rsid w:val="460F14C8"/>
    <w:rsid w:val="46115240"/>
    <w:rsid w:val="461313B0"/>
    <w:rsid w:val="46132D66"/>
    <w:rsid w:val="46135F72"/>
    <w:rsid w:val="461B7E6D"/>
    <w:rsid w:val="461F7F9A"/>
    <w:rsid w:val="462E5DF2"/>
    <w:rsid w:val="462F3918"/>
    <w:rsid w:val="46364425"/>
    <w:rsid w:val="463C4632"/>
    <w:rsid w:val="463F698B"/>
    <w:rsid w:val="46470C62"/>
    <w:rsid w:val="46517D32"/>
    <w:rsid w:val="46601D24"/>
    <w:rsid w:val="466F1F67"/>
    <w:rsid w:val="4675450E"/>
    <w:rsid w:val="4677113D"/>
    <w:rsid w:val="46844D9D"/>
    <w:rsid w:val="46881C14"/>
    <w:rsid w:val="468A5590"/>
    <w:rsid w:val="468C48C7"/>
    <w:rsid w:val="4695042E"/>
    <w:rsid w:val="46957C1F"/>
    <w:rsid w:val="46A61E2C"/>
    <w:rsid w:val="46A75BA4"/>
    <w:rsid w:val="46AD4F74"/>
    <w:rsid w:val="46AF3F02"/>
    <w:rsid w:val="46B1257F"/>
    <w:rsid w:val="46B96281"/>
    <w:rsid w:val="46BD7639"/>
    <w:rsid w:val="46C329DE"/>
    <w:rsid w:val="46C90598"/>
    <w:rsid w:val="46CC1167"/>
    <w:rsid w:val="46CE4EDF"/>
    <w:rsid w:val="46D5179B"/>
    <w:rsid w:val="46D5626E"/>
    <w:rsid w:val="46DA3884"/>
    <w:rsid w:val="46DD1C51"/>
    <w:rsid w:val="46E5026C"/>
    <w:rsid w:val="46E841F3"/>
    <w:rsid w:val="46F12475"/>
    <w:rsid w:val="46F14FFC"/>
    <w:rsid w:val="46F26E20"/>
    <w:rsid w:val="46F30DEA"/>
    <w:rsid w:val="46F32EC3"/>
    <w:rsid w:val="46F60EE0"/>
    <w:rsid w:val="471843AC"/>
    <w:rsid w:val="47237A20"/>
    <w:rsid w:val="47266AC9"/>
    <w:rsid w:val="473531B0"/>
    <w:rsid w:val="473C166C"/>
    <w:rsid w:val="47431429"/>
    <w:rsid w:val="47431D24"/>
    <w:rsid w:val="474B6530"/>
    <w:rsid w:val="47504C35"/>
    <w:rsid w:val="47523035"/>
    <w:rsid w:val="4761585B"/>
    <w:rsid w:val="476D1615"/>
    <w:rsid w:val="47737835"/>
    <w:rsid w:val="47757808"/>
    <w:rsid w:val="47797541"/>
    <w:rsid w:val="477A0BC3"/>
    <w:rsid w:val="477C0DDF"/>
    <w:rsid w:val="477C3E4E"/>
    <w:rsid w:val="47810020"/>
    <w:rsid w:val="47833F1C"/>
    <w:rsid w:val="478956C9"/>
    <w:rsid w:val="478E2BD5"/>
    <w:rsid w:val="479E48B1"/>
    <w:rsid w:val="47A0155D"/>
    <w:rsid w:val="47AB2FA4"/>
    <w:rsid w:val="47B1398D"/>
    <w:rsid w:val="47B16CDB"/>
    <w:rsid w:val="47B57E4D"/>
    <w:rsid w:val="47B60DBC"/>
    <w:rsid w:val="47B71E17"/>
    <w:rsid w:val="47B916EB"/>
    <w:rsid w:val="47BB1907"/>
    <w:rsid w:val="47BC11DC"/>
    <w:rsid w:val="47C041B1"/>
    <w:rsid w:val="47C06F1E"/>
    <w:rsid w:val="47C46DF8"/>
    <w:rsid w:val="47C50090"/>
    <w:rsid w:val="47CA38F8"/>
    <w:rsid w:val="47CB21D4"/>
    <w:rsid w:val="47CF445E"/>
    <w:rsid w:val="47CF75BE"/>
    <w:rsid w:val="47D209FF"/>
    <w:rsid w:val="47D74267"/>
    <w:rsid w:val="47DB78B4"/>
    <w:rsid w:val="47E4331C"/>
    <w:rsid w:val="47E80223"/>
    <w:rsid w:val="47F04B43"/>
    <w:rsid w:val="47F15329"/>
    <w:rsid w:val="47F15C97"/>
    <w:rsid w:val="480D1A37"/>
    <w:rsid w:val="48137EDD"/>
    <w:rsid w:val="48156C33"/>
    <w:rsid w:val="48217291"/>
    <w:rsid w:val="48233009"/>
    <w:rsid w:val="48243D35"/>
    <w:rsid w:val="482B2065"/>
    <w:rsid w:val="48311BC9"/>
    <w:rsid w:val="484D0086"/>
    <w:rsid w:val="48522605"/>
    <w:rsid w:val="485E2293"/>
    <w:rsid w:val="48657827"/>
    <w:rsid w:val="48671147"/>
    <w:rsid w:val="486C49B0"/>
    <w:rsid w:val="487813F3"/>
    <w:rsid w:val="487815A6"/>
    <w:rsid w:val="487B4BF3"/>
    <w:rsid w:val="4880045B"/>
    <w:rsid w:val="48846AEF"/>
    <w:rsid w:val="48856093"/>
    <w:rsid w:val="488A3088"/>
    <w:rsid w:val="488A68CF"/>
    <w:rsid w:val="48934632"/>
    <w:rsid w:val="489A151D"/>
    <w:rsid w:val="48A531BC"/>
    <w:rsid w:val="48A64365"/>
    <w:rsid w:val="48AB5C8A"/>
    <w:rsid w:val="48AE740B"/>
    <w:rsid w:val="48B02852"/>
    <w:rsid w:val="48B14AB8"/>
    <w:rsid w:val="48B46841"/>
    <w:rsid w:val="48B870E3"/>
    <w:rsid w:val="48B87BF5"/>
    <w:rsid w:val="48BB661D"/>
    <w:rsid w:val="48BF71D5"/>
    <w:rsid w:val="48C06AA9"/>
    <w:rsid w:val="48C33525"/>
    <w:rsid w:val="48D2409F"/>
    <w:rsid w:val="48D367DD"/>
    <w:rsid w:val="48D41344"/>
    <w:rsid w:val="48D74C90"/>
    <w:rsid w:val="48D849C9"/>
    <w:rsid w:val="48E319FB"/>
    <w:rsid w:val="48F76C78"/>
    <w:rsid w:val="48FA1FBB"/>
    <w:rsid w:val="48FE28A6"/>
    <w:rsid w:val="490E1005"/>
    <w:rsid w:val="490E1F0B"/>
    <w:rsid w:val="491C63D6"/>
    <w:rsid w:val="492674FA"/>
    <w:rsid w:val="49380D36"/>
    <w:rsid w:val="493B1763"/>
    <w:rsid w:val="493F2424"/>
    <w:rsid w:val="49415E3C"/>
    <w:rsid w:val="494254CB"/>
    <w:rsid w:val="49425710"/>
    <w:rsid w:val="49431BB4"/>
    <w:rsid w:val="49480C45"/>
    <w:rsid w:val="494871CB"/>
    <w:rsid w:val="495426F7"/>
    <w:rsid w:val="4958211B"/>
    <w:rsid w:val="495D254A"/>
    <w:rsid w:val="496438D9"/>
    <w:rsid w:val="49752D84"/>
    <w:rsid w:val="49755AE6"/>
    <w:rsid w:val="4976339E"/>
    <w:rsid w:val="49787384"/>
    <w:rsid w:val="49796A18"/>
    <w:rsid w:val="497D4C00"/>
    <w:rsid w:val="497E2BEC"/>
    <w:rsid w:val="49834DAD"/>
    <w:rsid w:val="49865F45"/>
    <w:rsid w:val="498F741A"/>
    <w:rsid w:val="49902920"/>
    <w:rsid w:val="49920446"/>
    <w:rsid w:val="49973CAE"/>
    <w:rsid w:val="49976AA9"/>
    <w:rsid w:val="49A10689"/>
    <w:rsid w:val="49A40179"/>
    <w:rsid w:val="49A81A17"/>
    <w:rsid w:val="49AB775A"/>
    <w:rsid w:val="49AC3E0E"/>
    <w:rsid w:val="49B20472"/>
    <w:rsid w:val="49B61D7A"/>
    <w:rsid w:val="49BE4B5E"/>
    <w:rsid w:val="49C25F58"/>
    <w:rsid w:val="49C85CE1"/>
    <w:rsid w:val="49CD147E"/>
    <w:rsid w:val="49D767A1"/>
    <w:rsid w:val="49D94D99"/>
    <w:rsid w:val="49E1317B"/>
    <w:rsid w:val="49EB5DA8"/>
    <w:rsid w:val="49ED00C9"/>
    <w:rsid w:val="49F22ADE"/>
    <w:rsid w:val="49F25388"/>
    <w:rsid w:val="49F3083F"/>
    <w:rsid w:val="49F7299F"/>
    <w:rsid w:val="4A027CAE"/>
    <w:rsid w:val="4A0351F7"/>
    <w:rsid w:val="4A0654DC"/>
    <w:rsid w:val="4A084A76"/>
    <w:rsid w:val="4A08695A"/>
    <w:rsid w:val="4A0A26D2"/>
    <w:rsid w:val="4A143551"/>
    <w:rsid w:val="4A1672C9"/>
    <w:rsid w:val="4A176B9D"/>
    <w:rsid w:val="4A275968"/>
    <w:rsid w:val="4A28267D"/>
    <w:rsid w:val="4A286FFC"/>
    <w:rsid w:val="4A2F3EE7"/>
    <w:rsid w:val="4A300EF3"/>
    <w:rsid w:val="4A3D4856"/>
    <w:rsid w:val="4A4C4785"/>
    <w:rsid w:val="4A4C6847"/>
    <w:rsid w:val="4A52618C"/>
    <w:rsid w:val="4A532D0F"/>
    <w:rsid w:val="4A600544"/>
    <w:rsid w:val="4A602EB9"/>
    <w:rsid w:val="4A605AF9"/>
    <w:rsid w:val="4A633B90"/>
    <w:rsid w:val="4A634417"/>
    <w:rsid w:val="4A673681"/>
    <w:rsid w:val="4A6A3171"/>
    <w:rsid w:val="4A6A4F1F"/>
    <w:rsid w:val="4A6F0B94"/>
    <w:rsid w:val="4A722025"/>
    <w:rsid w:val="4A77763C"/>
    <w:rsid w:val="4A7D10F6"/>
    <w:rsid w:val="4A7D2EA4"/>
    <w:rsid w:val="4A7D4C52"/>
    <w:rsid w:val="4A802994"/>
    <w:rsid w:val="4A8A4060"/>
    <w:rsid w:val="4A8D4B15"/>
    <w:rsid w:val="4A9321E8"/>
    <w:rsid w:val="4A9326C8"/>
    <w:rsid w:val="4A9E67FA"/>
    <w:rsid w:val="4A9F106C"/>
    <w:rsid w:val="4AA04DE4"/>
    <w:rsid w:val="4AA20B5D"/>
    <w:rsid w:val="4AAE12AF"/>
    <w:rsid w:val="4AB34B18"/>
    <w:rsid w:val="4AB77AAC"/>
    <w:rsid w:val="4ABA40F8"/>
    <w:rsid w:val="4ABD5996"/>
    <w:rsid w:val="4ABD5A77"/>
    <w:rsid w:val="4AE163EE"/>
    <w:rsid w:val="4AF81276"/>
    <w:rsid w:val="4B050CA9"/>
    <w:rsid w:val="4B053BE4"/>
    <w:rsid w:val="4B14423A"/>
    <w:rsid w:val="4B1E6C88"/>
    <w:rsid w:val="4B202CE0"/>
    <w:rsid w:val="4B254842"/>
    <w:rsid w:val="4B296DEB"/>
    <w:rsid w:val="4B2E419E"/>
    <w:rsid w:val="4B343856"/>
    <w:rsid w:val="4B371A89"/>
    <w:rsid w:val="4B3F0159"/>
    <w:rsid w:val="4B40491C"/>
    <w:rsid w:val="4B481704"/>
    <w:rsid w:val="4B4A0E91"/>
    <w:rsid w:val="4B524331"/>
    <w:rsid w:val="4B57612C"/>
    <w:rsid w:val="4B614574"/>
    <w:rsid w:val="4B6422B6"/>
    <w:rsid w:val="4B6E13E1"/>
    <w:rsid w:val="4B796544"/>
    <w:rsid w:val="4B7A4C5E"/>
    <w:rsid w:val="4B7D226C"/>
    <w:rsid w:val="4B871B00"/>
    <w:rsid w:val="4B881494"/>
    <w:rsid w:val="4B8A1D1C"/>
    <w:rsid w:val="4B9D4047"/>
    <w:rsid w:val="4B9E091B"/>
    <w:rsid w:val="4BAB34B6"/>
    <w:rsid w:val="4BAB57EF"/>
    <w:rsid w:val="4BAF3531"/>
    <w:rsid w:val="4BB5041C"/>
    <w:rsid w:val="4BBA1ED6"/>
    <w:rsid w:val="4BC472F4"/>
    <w:rsid w:val="4BCD4623"/>
    <w:rsid w:val="4BD7107A"/>
    <w:rsid w:val="4BE17463"/>
    <w:rsid w:val="4BE62CCB"/>
    <w:rsid w:val="4BEF1B80"/>
    <w:rsid w:val="4BF15667"/>
    <w:rsid w:val="4BF76C86"/>
    <w:rsid w:val="4BF90C50"/>
    <w:rsid w:val="4BFD024A"/>
    <w:rsid w:val="4C12189A"/>
    <w:rsid w:val="4C192C29"/>
    <w:rsid w:val="4C1C493F"/>
    <w:rsid w:val="4C245195"/>
    <w:rsid w:val="4C25684C"/>
    <w:rsid w:val="4C2F4672"/>
    <w:rsid w:val="4C303F46"/>
    <w:rsid w:val="4C341C88"/>
    <w:rsid w:val="4C342114"/>
    <w:rsid w:val="4C3B64F8"/>
    <w:rsid w:val="4C3C7520"/>
    <w:rsid w:val="4C431ECB"/>
    <w:rsid w:val="4C4A5008"/>
    <w:rsid w:val="4C52210E"/>
    <w:rsid w:val="4C533077"/>
    <w:rsid w:val="4C6420E7"/>
    <w:rsid w:val="4C644E61"/>
    <w:rsid w:val="4C653C04"/>
    <w:rsid w:val="4C6836E0"/>
    <w:rsid w:val="4C6E4996"/>
    <w:rsid w:val="4C6F0F12"/>
    <w:rsid w:val="4C8449BE"/>
    <w:rsid w:val="4C850C19"/>
    <w:rsid w:val="4C8524E4"/>
    <w:rsid w:val="4C8B021C"/>
    <w:rsid w:val="4C982217"/>
    <w:rsid w:val="4C982396"/>
    <w:rsid w:val="4C9C2A40"/>
    <w:rsid w:val="4CA07244"/>
    <w:rsid w:val="4CA07F52"/>
    <w:rsid w:val="4CA536CC"/>
    <w:rsid w:val="4CAC181F"/>
    <w:rsid w:val="4CB14F60"/>
    <w:rsid w:val="4CB42DC9"/>
    <w:rsid w:val="4CB608EF"/>
    <w:rsid w:val="4CB6269D"/>
    <w:rsid w:val="4CB86415"/>
    <w:rsid w:val="4CB93F3C"/>
    <w:rsid w:val="4CBA4802"/>
    <w:rsid w:val="4CBD64DB"/>
    <w:rsid w:val="4CBE27D3"/>
    <w:rsid w:val="4CC10DCC"/>
    <w:rsid w:val="4CC67484"/>
    <w:rsid w:val="4CC81A5D"/>
    <w:rsid w:val="4CC90409"/>
    <w:rsid w:val="4CD3324F"/>
    <w:rsid w:val="4CD34FFD"/>
    <w:rsid w:val="4CD539DF"/>
    <w:rsid w:val="4CDE39A2"/>
    <w:rsid w:val="4CEB0F0C"/>
    <w:rsid w:val="4CEE38E9"/>
    <w:rsid w:val="4D042F01"/>
    <w:rsid w:val="4D063625"/>
    <w:rsid w:val="4D162706"/>
    <w:rsid w:val="4D21569F"/>
    <w:rsid w:val="4D27359B"/>
    <w:rsid w:val="4D341814"/>
    <w:rsid w:val="4D3C515F"/>
    <w:rsid w:val="4D430F21"/>
    <w:rsid w:val="4D4330E2"/>
    <w:rsid w:val="4D5123C6"/>
    <w:rsid w:val="4D573E80"/>
    <w:rsid w:val="4D583E78"/>
    <w:rsid w:val="4D5C3245"/>
    <w:rsid w:val="4D5C53F9"/>
    <w:rsid w:val="4D6C0FAE"/>
    <w:rsid w:val="4D7168F0"/>
    <w:rsid w:val="4D767CD2"/>
    <w:rsid w:val="4D8602C2"/>
    <w:rsid w:val="4D862070"/>
    <w:rsid w:val="4D866514"/>
    <w:rsid w:val="4D8C494F"/>
    <w:rsid w:val="4D9269AF"/>
    <w:rsid w:val="4D971D5B"/>
    <w:rsid w:val="4D9724CF"/>
    <w:rsid w:val="4D9A6EC4"/>
    <w:rsid w:val="4DA16EA9"/>
    <w:rsid w:val="4DA92202"/>
    <w:rsid w:val="4DAE15C6"/>
    <w:rsid w:val="4DB017E2"/>
    <w:rsid w:val="4DB03590"/>
    <w:rsid w:val="4DB766CD"/>
    <w:rsid w:val="4DBA440F"/>
    <w:rsid w:val="4DD21759"/>
    <w:rsid w:val="4DD728CB"/>
    <w:rsid w:val="4DD92AE7"/>
    <w:rsid w:val="4DDD74A8"/>
    <w:rsid w:val="4DDE62FD"/>
    <w:rsid w:val="4DDF0ECE"/>
    <w:rsid w:val="4DDF79D2"/>
    <w:rsid w:val="4DE1199C"/>
    <w:rsid w:val="4DE16E25"/>
    <w:rsid w:val="4DE35714"/>
    <w:rsid w:val="4DF26202"/>
    <w:rsid w:val="4DF711BF"/>
    <w:rsid w:val="4E003E2F"/>
    <w:rsid w:val="4E085512"/>
    <w:rsid w:val="4E0A4D43"/>
    <w:rsid w:val="4E0C2ABC"/>
    <w:rsid w:val="4E121B55"/>
    <w:rsid w:val="4E123112"/>
    <w:rsid w:val="4E1F78CA"/>
    <w:rsid w:val="4E2305F0"/>
    <w:rsid w:val="4E2649A0"/>
    <w:rsid w:val="4E2A6045"/>
    <w:rsid w:val="4E2E1B29"/>
    <w:rsid w:val="4E30022D"/>
    <w:rsid w:val="4E335C67"/>
    <w:rsid w:val="4E3605DF"/>
    <w:rsid w:val="4E3E294A"/>
    <w:rsid w:val="4E3F1A22"/>
    <w:rsid w:val="4E481A1B"/>
    <w:rsid w:val="4E4B32B9"/>
    <w:rsid w:val="4E5426C9"/>
    <w:rsid w:val="4E597784"/>
    <w:rsid w:val="4E6B1D97"/>
    <w:rsid w:val="4E6D7288"/>
    <w:rsid w:val="4E704779"/>
    <w:rsid w:val="4E7A177D"/>
    <w:rsid w:val="4E7C3473"/>
    <w:rsid w:val="4E7E543D"/>
    <w:rsid w:val="4E881E17"/>
    <w:rsid w:val="4E8830AE"/>
    <w:rsid w:val="4E8862BB"/>
    <w:rsid w:val="4E955F59"/>
    <w:rsid w:val="4E96207E"/>
    <w:rsid w:val="4E964534"/>
    <w:rsid w:val="4E9702AC"/>
    <w:rsid w:val="4EA03826"/>
    <w:rsid w:val="4EAF3848"/>
    <w:rsid w:val="4EB62E28"/>
    <w:rsid w:val="4EB86BA1"/>
    <w:rsid w:val="4EB943FF"/>
    <w:rsid w:val="4EB946C7"/>
    <w:rsid w:val="4EBB1FC5"/>
    <w:rsid w:val="4EC75DCD"/>
    <w:rsid w:val="4EC82BAC"/>
    <w:rsid w:val="4ECC264C"/>
    <w:rsid w:val="4ECD1F20"/>
    <w:rsid w:val="4ECF3EEA"/>
    <w:rsid w:val="4ECF6819"/>
    <w:rsid w:val="4ED44613"/>
    <w:rsid w:val="4ED56C22"/>
    <w:rsid w:val="4EF22F11"/>
    <w:rsid w:val="4EF342DE"/>
    <w:rsid w:val="4EF57642"/>
    <w:rsid w:val="4EF63225"/>
    <w:rsid w:val="4EF676C9"/>
    <w:rsid w:val="4EFE20DA"/>
    <w:rsid w:val="4F016F2F"/>
    <w:rsid w:val="4F027E1C"/>
    <w:rsid w:val="4F0469A4"/>
    <w:rsid w:val="4F082F58"/>
    <w:rsid w:val="4F0911AA"/>
    <w:rsid w:val="4F0B1CD9"/>
    <w:rsid w:val="4F133DD7"/>
    <w:rsid w:val="4F172249"/>
    <w:rsid w:val="4F1D07B2"/>
    <w:rsid w:val="4F1E57C3"/>
    <w:rsid w:val="4F2558B8"/>
    <w:rsid w:val="4F293322"/>
    <w:rsid w:val="4F310701"/>
    <w:rsid w:val="4F3C7F97"/>
    <w:rsid w:val="4F4026F2"/>
    <w:rsid w:val="4F495A4B"/>
    <w:rsid w:val="4F506B2E"/>
    <w:rsid w:val="4F554DBC"/>
    <w:rsid w:val="4F5F0DCA"/>
    <w:rsid w:val="4F6F4D85"/>
    <w:rsid w:val="4F713D48"/>
    <w:rsid w:val="4F766114"/>
    <w:rsid w:val="4F7B24B6"/>
    <w:rsid w:val="4F7C2E75"/>
    <w:rsid w:val="4F7D17A7"/>
    <w:rsid w:val="4F860514"/>
    <w:rsid w:val="4F8B35F7"/>
    <w:rsid w:val="4F915F2D"/>
    <w:rsid w:val="4F9C2FAB"/>
    <w:rsid w:val="4FA113E3"/>
    <w:rsid w:val="4FA26F09"/>
    <w:rsid w:val="4FA55626"/>
    <w:rsid w:val="4FA90297"/>
    <w:rsid w:val="4FA931B8"/>
    <w:rsid w:val="4FB02F43"/>
    <w:rsid w:val="4FC0487A"/>
    <w:rsid w:val="4FCC3A04"/>
    <w:rsid w:val="4FD277EE"/>
    <w:rsid w:val="4FDC066D"/>
    <w:rsid w:val="4FDC241B"/>
    <w:rsid w:val="4FDD0B86"/>
    <w:rsid w:val="4FDD1914"/>
    <w:rsid w:val="4FDF015D"/>
    <w:rsid w:val="4FF21C3E"/>
    <w:rsid w:val="4FF26A8A"/>
    <w:rsid w:val="4FF9121F"/>
    <w:rsid w:val="4FFD0EF1"/>
    <w:rsid w:val="5000299E"/>
    <w:rsid w:val="50010EFC"/>
    <w:rsid w:val="50074FD7"/>
    <w:rsid w:val="500A74ED"/>
    <w:rsid w:val="501669E8"/>
    <w:rsid w:val="5019366F"/>
    <w:rsid w:val="501C4F0D"/>
    <w:rsid w:val="50342624"/>
    <w:rsid w:val="50395ABF"/>
    <w:rsid w:val="503A35E5"/>
    <w:rsid w:val="50416722"/>
    <w:rsid w:val="505226DD"/>
    <w:rsid w:val="5055041F"/>
    <w:rsid w:val="505E72D4"/>
    <w:rsid w:val="50600FCA"/>
    <w:rsid w:val="5060130B"/>
    <w:rsid w:val="50616E69"/>
    <w:rsid w:val="50666188"/>
    <w:rsid w:val="50677BFC"/>
    <w:rsid w:val="506900EF"/>
    <w:rsid w:val="506B5BA3"/>
    <w:rsid w:val="507C3BFE"/>
    <w:rsid w:val="50870B84"/>
    <w:rsid w:val="508F1B83"/>
    <w:rsid w:val="50962F12"/>
    <w:rsid w:val="50982348"/>
    <w:rsid w:val="50A0169A"/>
    <w:rsid w:val="50A70C7B"/>
    <w:rsid w:val="50A849F3"/>
    <w:rsid w:val="50B45146"/>
    <w:rsid w:val="50B67E05"/>
    <w:rsid w:val="50BB4A0A"/>
    <w:rsid w:val="50C07F8E"/>
    <w:rsid w:val="50C3182D"/>
    <w:rsid w:val="50CE104C"/>
    <w:rsid w:val="50CF01D2"/>
    <w:rsid w:val="50E66AA7"/>
    <w:rsid w:val="50F14EFD"/>
    <w:rsid w:val="511B51C5"/>
    <w:rsid w:val="51200A2D"/>
    <w:rsid w:val="51234079"/>
    <w:rsid w:val="513242BC"/>
    <w:rsid w:val="5137314B"/>
    <w:rsid w:val="514209A3"/>
    <w:rsid w:val="514C537E"/>
    <w:rsid w:val="51513C07"/>
    <w:rsid w:val="515963E1"/>
    <w:rsid w:val="515B7CB7"/>
    <w:rsid w:val="515D758B"/>
    <w:rsid w:val="515E50B1"/>
    <w:rsid w:val="51621046"/>
    <w:rsid w:val="516C5A20"/>
    <w:rsid w:val="516F72BF"/>
    <w:rsid w:val="51703763"/>
    <w:rsid w:val="517174DB"/>
    <w:rsid w:val="517B5C63"/>
    <w:rsid w:val="517D214D"/>
    <w:rsid w:val="517F1BC9"/>
    <w:rsid w:val="518D5397"/>
    <w:rsid w:val="518F4562"/>
    <w:rsid w:val="51903FB3"/>
    <w:rsid w:val="519A258E"/>
    <w:rsid w:val="51AE1D36"/>
    <w:rsid w:val="51B66C9C"/>
    <w:rsid w:val="51BD3A69"/>
    <w:rsid w:val="51C50A00"/>
    <w:rsid w:val="51CB0999"/>
    <w:rsid w:val="51D67F42"/>
    <w:rsid w:val="51D92A34"/>
    <w:rsid w:val="51DA5080"/>
    <w:rsid w:val="51DF6F5A"/>
    <w:rsid w:val="51E41A5B"/>
    <w:rsid w:val="51ED3E6F"/>
    <w:rsid w:val="520D7203"/>
    <w:rsid w:val="520E6AD8"/>
    <w:rsid w:val="521905CA"/>
    <w:rsid w:val="521A547C"/>
    <w:rsid w:val="5224663F"/>
    <w:rsid w:val="522E5C61"/>
    <w:rsid w:val="52374280"/>
    <w:rsid w:val="523F3135"/>
    <w:rsid w:val="52556A4B"/>
    <w:rsid w:val="5257222D"/>
    <w:rsid w:val="525A1D1D"/>
    <w:rsid w:val="525C3CE7"/>
    <w:rsid w:val="52632C58"/>
    <w:rsid w:val="52636FBB"/>
    <w:rsid w:val="526B04A4"/>
    <w:rsid w:val="527173E6"/>
    <w:rsid w:val="52771184"/>
    <w:rsid w:val="527821A3"/>
    <w:rsid w:val="528373BD"/>
    <w:rsid w:val="5285323E"/>
    <w:rsid w:val="52861B73"/>
    <w:rsid w:val="52877BA3"/>
    <w:rsid w:val="528D3EA0"/>
    <w:rsid w:val="52946FDD"/>
    <w:rsid w:val="529C694C"/>
    <w:rsid w:val="52A03BD4"/>
    <w:rsid w:val="52AE2BBC"/>
    <w:rsid w:val="52B7716F"/>
    <w:rsid w:val="52BB6B4A"/>
    <w:rsid w:val="52BC67CA"/>
    <w:rsid w:val="52BE405A"/>
    <w:rsid w:val="52C1514D"/>
    <w:rsid w:val="52C673B2"/>
    <w:rsid w:val="52CA0C50"/>
    <w:rsid w:val="52D341F1"/>
    <w:rsid w:val="52DC2732"/>
    <w:rsid w:val="52DD25A9"/>
    <w:rsid w:val="52E3080D"/>
    <w:rsid w:val="52ED493F"/>
    <w:rsid w:val="52F42171"/>
    <w:rsid w:val="52F74F13"/>
    <w:rsid w:val="52F7756C"/>
    <w:rsid w:val="52FE057D"/>
    <w:rsid w:val="5303580E"/>
    <w:rsid w:val="5305542D"/>
    <w:rsid w:val="530F0D59"/>
    <w:rsid w:val="5311062D"/>
    <w:rsid w:val="53126808"/>
    <w:rsid w:val="53132A5C"/>
    <w:rsid w:val="53147B7C"/>
    <w:rsid w:val="531B76FE"/>
    <w:rsid w:val="5325057D"/>
    <w:rsid w:val="53270EEA"/>
    <w:rsid w:val="532D5B61"/>
    <w:rsid w:val="53364538"/>
    <w:rsid w:val="53392365"/>
    <w:rsid w:val="533F5741"/>
    <w:rsid w:val="534764DA"/>
    <w:rsid w:val="53591FD4"/>
    <w:rsid w:val="535D6464"/>
    <w:rsid w:val="536E35CD"/>
    <w:rsid w:val="536E7589"/>
    <w:rsid w:val="5386726D"/>
    <w:rsid w:val="538A03E0"/>
    <w:rsid w:val="538A6632"/>
    <w:rsid w:val="539A4AC7"/>
    <w:rsid w:val="539D6365"/>
    <w:rsid w:val="539F032F"/>
    <w:rsid w:val="53A05E55"/>
    <w:rsid w:val="53A46AC8"/>
    <w:rsid w:val="53AB6CD4"/>
    <w:rsid w:val="53AC65A8"/>
    <w:rsid w:val="53AF47DC"/>
    <w:rsid w:val="53B042EA"/>
    <w:rsid w:val="53B10062"/>
    <w:rsid w:val="53B316E5"/>
    <w:rsid w:val="53C127F5"/>
    <w:rsid w:val="53CB2ED2"/>
    <w:rsid w:val="53DA11A0"/>
    <w:rsid w:val="53DB0C3B"/>
    <w:rsid w:val="53DF5431"/>
    <w:rsid w:val="53E15619"/>
    <w:rsid w:val="53EC4BF7"/>
    <w:rsid w:val="53F229C4"/>
    <w:rsid w:val="54011578"/>
    <w:rsid w:val="54036176"/>
    <w:rsid w:val="54090920"/>
    <w:rsid w:val="541078A2"/>
    <w:rsid w:val="54177EC5"/>
    <w:rsid w:val="5426635A"/>
    <w:rsid w:val="542B571F"/>
    <w:rsid w:val="54324CFF"/>
    <w:rsid w:val="5435659E"/>
    <w:rsid w:val="544143C8"/>
    <w:rsid w:val="5446334B"/>
    <w:rsid w:val="544D38E7"/>
    <w:rsid w:val="54555807"/>
    <w:rsid w:val="54595B63"/>
    <w:rsid w:val="545F735A"/>
    <w:rsid w:val="54672089"/>
    <w:rsid w:val="546D5D37"/>
    <w:rsid w:val="548C26F2"/>
    <w:rsid w:val="548D63DA"/>
    <w:rsid w:val="54971006"/>
    <w:rsid w:val="549D30A9"/>
    <w:rsid w:val="549F08F7"/>
    <w:rsid w:val="54AE63AC"/>
    <w:rsid w:val="54C3004D"/>
    <w:rsid w:val="54C312B6"/>
    <w:rsid w:val="54C55B73"/>
    <w:rsid w:val="54C6778A"/>
    <w:rsid w:val="54CD67D6"/>
    <w:rsid w:val="54D264E2"/>
    <w:rsid w:val="54D5030E"/>
    <w:rsid w:val="54D538DD"/>
    <w:rsid w:val="54D66FD9"/>
    <w:rsid w:val="54D73556"/>
    <w:rsid w:val="54D77655"/>
    <w:rsid w:val="54D86ACB"/>
    <w:rsid w:val="54DC110F"/>
    <w:rsid w:val="54DF0236"/>
    <w:rsid w:val="54F63F7F"/>
    <w:rsid w:val="54FD06A1"/>
    <w:rsid w:val="54FF12D2"/>
    <w:rsid w:val="550146D2"/>
    <w:rsid w:val="55067F3A"/>
    <w:rsid w:val="5509794D"/>
    <w:rsid w:val="550C1C87"/>
    <w:rsid w:val="550C37A2"/>
    <w:rsid w:val="55125282"/>
    <w:rsid w:val="55191A1B"/>
    <w:rsid w:val="551E0533"/>
    <w:rsid w:val="55230AEC"/>
    <w:rsid w:val="552503C0"/>
    <w:rsid w:val="552A7962"/>
    <w:rsid w:val="553920BD"/>
    <w:rsid w:val="553D7E00"/>
    <w:rsid w:val="55560EC1"/>
    <w:rsid w:val="55592760"/>
    <w:rsid w:val="555B0286"/>
    <w:rsid w:val="555C58E5"/>
    <w:rsid w:val="555D2250"/>
    <w:rsid w:val="5560764A"/>
    <w:rsid w:val="55646B2D"/>
    <w:rsid w:val="556C2493"/>
    <w:rsid w:val="55782BE6"/>
    <w:rsid w:val="557B4484"/>
    <w:rsid w:val="557C1E00"/>
    <w:rsid w:val="55801A9A"/>
    <w:rsid w:val="55874F5B"/>
    <w:rsid w:val="558F1CDD"/>
    <w:rsid w:val="55900262"/>
    <w:rsid w:val="55945546"/>
    <w:rsid w:val="559B68D4"/>
    <w:rsid w:val="55A03EEB"/>
    <w:rsid w:val="55A83D54"/>
    <w:rsid w:val="55B55BE8"/>
    <w:rsid w:val="55BC78C0"/>
    <w:rsid w:val="55C53951"/>
    <w:rsid w:val="55C623B0"/>
    <w:rsid w:val="55C67DF5"/>
    <w:rsid w:val="55CC4575"/>
    <w:rsid w:val="55CD5369"/>
    <w:rsid w:val="55CF47D0"/>
    <w:rsid w:val="55D65B5E"/>
    <w:rsid w:val="55D95D86"/>
    <w:rsid w:val="55DB4F23"/>
    <w:rsid w:val="55EC35D4"/>
    <w:rsid w:val="55EC5CEC"/>
    <w:rsid w:val="55EC7130"/>
    <w:rsid w:val="55EF09CE"/>
    <w:rsid w:val="55F45FE4"/>
    <w:rsid w:val="55F47291"/>
    <w:rsid w:val="55F83D27"/>
    <w:rsid w:val="55FC07CB"/>
    <w:rsid w:val="55FD133D"/>
    <w:rsid w:val="55FF1F97"/>
    <w:rsid w:val="56010E2D"/>
    <w:rsid w:val="560B3A5A"/>
    <w:rsid w:val="56114DE8"/>
    <w:rsid w:val="56286BBA"/>
    <w:rsid w:val="562A7718"/>
    <w:rsid w:val="562F3EBC"/>
    <w:rsid w:val="56397366"/>
    <w:rsid w:val="563F6D9A"/>
    <w:rsid w:val="56436DEA"/>
    <w:rsid w:val="56496330"/>
    <w:rsid w:val="564B20A8"/>
    <w:rsid w:val="564C7BCE"/>
    <w:rsid w:val="564D4072"/>
    <w:rsid w:val="565A004B"/>
    <w:rsid w:val="565B7EBC"/>
    <w:rsid w:val="565F7902"/>
    <w:rsid w:val="56602B8B"/>
    <w:rsid w:val="56665134"/>
    <w:rsid w:val="56666EE2"/>
    <w:rsid w:val="566735DC"/>
    <w:rsid w:val="567333AD"/>
    <w:rsid w:val="56765228"/>
    <w:rsid w:val="567A07EF"/>
    <w:rsid w:val="567E2574"/>
    <w:rsid w:val="56834299"/>
    <w:rsid w:val="568424AB"/>
    <w:rsid w:val="56847368"/>
    <w:rsid w:val="56903F5F"/>
    <w:rsid w:val="569C2904"/>
    <w:rsid w:val="569D77AF"/>
    <w:rsid w:val="56A40F30"/>
    <w:rsid w:val="56A95ABB"/>
    <w:rsid w:val="56AA5540"/>
    <w:rsid w:val="56AB640B"/>
    <w:rsid w:val="56AB7C79"/>
    <w:rsid w:val="56AE2780"/>
    <w:rsid w:val="56B50C61"/>
    <w:rsid w:val="56B977D8"/>
    <w:rsid w:val="56BD475C"/>
    <w:rsid w:val="56BE6D1E"/>
    <w:rsid w:val="56C87B9D"/>
    <w:rsid w:val="56C9121F"/>
    <w:rsid w:val="56C9275B"/>
    <w:rsid w:val="56CF2CD9"/>
    <w:rsid w:val="56DA342C"/>
    <w:rsid w:val="56DD720F"/>
    <w:rsid w:val="56DF0A43"/>
    <w:rsid w:val="56DF4899"/>
    <w:rsid w:val="56E11251"/>
    <w:rsid w:val="56ED7603"/>
    <w:rsid w:val="56F02FEC"/>
    <w:rsid w:val="56F83896"/>
    <w:rsid w:val="56FB3ACE"/>
    <w:rsid w:val="57062C50"/>
    <w:rsid w:val="570861EB"/>
    <w:rsid w:val="570B1AB1"/>
    <w:rsid w:val="570F1F8D"/>
    <w:rsid w:val="571701DC"/>
    <w:rsid w:val="571F6A41"/>
    <w:rsid w:val="57234DD3"/>
    <w:rsid w:val="572528F9"/>
    <w:rsid w:val="572C3407"/>
    <w:rsid w:val="572F521C"/>
    <w:rsid w:val="573F4713"/>
    <w:rsid w:val="57460688"/>
    <w:rsid w:val="574F3E1A"/>
    <w:rsid w:val="575E1B2E"/>
    <w:rsid w:val="575E5E0B"/>
    <w:rsid w:val="575F370E"/>
    <w:rsid w:val="576B22D6"/>
    <w:rsid w:val="576D604E"/>
    <w:rsid w:val="576F1DC6"/>
    <w:rsid w:val="577209D8"/>
    <w:rsid w:val="57723665"/>
    <w:rsid w:val="5778511F"/>
    <w:rsid w:val="577F5F97"/>
    <w:rsid w:val="5785783C"/>
    <w:rsid w:val="578E4942"/>
    <w:rsid w:val="5794182D"/>
    <w:rsid w:val="579A136D"/>
    <w:rsid w:val="579E445A"/>
    <w:rsid w:val="57B679F5"/>
    <w:rsid w:val="57B95737"/>
    <w:rsid w:val="57BD32E5"/>
    <w:rsid w:val="57C14617"/>
    <w:rsid w:val="57CA34A1"/>
    <w:rsid w:val="57CD4D3F"/>
    <w:rsid w:val="57D36B15"/>
    <w:rsid w:val="57DB56AE"/>
    <w:rsid w:val="57DE0CFA"/>
    <w:rsid w:val="57E403AC"/>
    <w:rsid w:val="57EB51CE"/>
    <w:rsid w:val="57EE13CD"/>
    <w:rsid w:val="57EE3633"/>
    <w:rsid w:val="57EE371D"/>
    <w:rsid w:val="57F10C0E"/>
    <w:rsid w:val="57F16C7F"/>
    <w:rsid w:val="57F57CDB"/>
    <w:rsid w:val="57F81DBC"/>
    <w:rsid w:val="57FA5739"/>
    <w:rsid w:val="57FE314A"/>
    <w:rsid w:val="580B5808"/>
    <w:rsid w:val="580C5702"/>
    <w:rsid w:val="580D3184"/>
    <w:rsid w:val="580F7106"/>
    <w:rsid w:val="5813309A"/>
    <w:rsid w:val="58170C31"/>
    <w:rsid w:val="5818245E"/>
    <w:rsid w:val="581B5362"/>
    <w:rsid w:val="581F37ED"/>
    <w:rsid w:val="581F6641"/>
    <w:rsid w:val="582232DD"/>
    <w:rsid w:val="58296419"/>
    <w:rsid w:val="582A3970"/>
    <w:rsid w:val="582D5E99"/>
    <w:rsid w:val="582E57DE"/>
    <w:rsid w:val="58302DCF"/>
    <w:rsid w:val="58337298"/>
    <w:rsid w:val="58346B6C"/>
    <w:rsid w:val="583A3465"/>
    <w:rsid w:val="58405B96"/>
    <w:rsid w:val="584D564C"/>
    <w:rsid w:val="584E7C2E"/>
    <w:rsid w:val="5850568B"/>
    <w:rsid w:val="58533496"/>
    <w:rsid w:val="58586CFE"/>
    <w:rsid w:val="58607961"/>
    <w:rsid w:val="58737721"/>
    <w:rsid w:val="587A0A23"/>
    <w:rsid w:val="5886386C"/>
    <w:rsid w:val="58873140"/>
    <w:rsid w:val="58874605"/>
    <w:rsid w:val="5889054F"/>
    <w:rsid w:val="5889510A"/>
    <w:rsid w:val="588C0BD3"/>
    <w:rsid w:val="589752E6"/>
    <w:rsid w:val="589812B0"/>
    <w:rsid w:val="589F66DB"/>
    <w:rsid w:val="58A81A34"/>
    <w:rsid w:val="58A95C9D"/>
    <w:rsid w:val="58AB5080"/>
    <w:rsid w:val="58B71C77"/>
    <w:rsid w:val="58BC0ABE"/>
    <w:rsid w:val="58BE2FA8"/>
    <w:rsid w:val="58BE3005"/>
    <w:rsid w:val="58BF0B2C"/>
    <w:rsid w:val="58C56FD8"/>
    <w:rsid w:val="58C779E0"/>
    <w:rsid w:val="58CD57C0"/>
    <w:rsid w:val="58DA6810"/>
    <w:rsid w:val="58DC4756"/>
    <w:rsid w:val="58DE5456"/>
    <w:rsid w:val="58E02A3F"/>
    <w:rsid w:val="58F73F49"/>
    <w:rsid w:val="59012EF2"/>
    <w:rsid w:val="590A2E21"/>
    <w:rsid w:val="590C11FA"/>
    <w:rsid w:val="59103135"/>
    <w:rsid w:val="59126EAD"/>
    <w:rsid w:val="5919023C"/>
    <w:rsid w:val="59194667"/>
    <w:rsid w:val="591D3B0A"/>
    <w:rsid w:val="59262959"/>
    <w:rsid w:val="592858A0"/>
    <w:rsid w:val="592B61C1"/>
    <w:rsid w:val="592D325B"/>
    <w:rsid w:val="593212FE"/>
    <w:rsid w:val="59385131"/>
    <w:rsid w:val="5948651A"/>
    <w:rsid w:val="594E3962"/>
    <w:rsid w:val="595034DB"/>
    <w:rsid w:val="595E3799"/>
    <w:rsid w:val="595F0A89"/>
    <w:rsid w:val="59611BE3"/>
    <w:rsid w:val="5966619C"/>
    <w:rsid w:val="596671F9"/>
    <w:rsid w:val="59741916"/>
    <w:rsid w:val="59741986"/>
    <w:rsid w:val="597436C4"/>
    <w:rsid w:val="597C3956"/>
    <w:rsid w:val="59837DAB"/>
    <w:rsid w:val="598C4EB2"/>
    <w:rsid w:val="5991071A"/>
    <w:rsid w:val="5999137D"/>
    <w:rsid w:val="5999312B"/>
    <w:rsid w:val="599C04BB"/>
    <w:rsid w:val="59A85A64"/>
    <w:rsid w:val="59AD307A"/>
    <w:rsid w:val="59B125A8"/>
    <w:rsid w:val="59B461B6"/>
    <w:rsid w:val="59B85ACE"/>
    <w:rsid w:val="59B87359"/>
    <w:rsid w:val="59BE0281"/>
    <w:rsid w:val="59C36FD2"/>
    <w:rsid w:val="59C96098"/>
    <w:rsid w:val="59CD1026"/>
    <w:rsid w:val="59E6048B"/>
    <w:rsid w:val="59E940B2"/>
    <w:rsid w:val="59EB3C85"/>
    <w:rsid w:val="59F51775"/>
    <w:rsid w:val="59F54B14"/>
    <w:rsid w:val="59FE5BB4"/>
    <w:rsid w:val="5A07278A"/>
    <w:rsid w:val="5A0E2767"/>
    <w:rsid w:val="5A1023FA"/>
    <w:rsid w:val="5A13768C"/>
    <w:rsid w:val="5A17368D"/>
    <w:rsid w:val="5A20384C"/>
    <w:rsid w:val="5A22286F"/>
    <w:rsid w:val="5A2275C4"/>
    <w:rsid w:val="5A2705FE"/>
    <w:rsid w:val="5A290952"/>
    <w:rsid w:val="5A2B0780"/>
    <w:rsid w:val="5A2E41BB"/>
    <w:rsid w:val="5A317807"/>
    <w:rsid w:val="5A325088"/>
    <w:rsid w:val="5A41687A"/>
    <w:rsid w:val="5A477B85"/>
    <w:rsid w:val="5A4B3A12"/>
    <w:rsid w:val="5A4B6B1B"/>
    <w:rsid w:val="5A504131"/>
    <w:rsid w:val="5A647BDD"/>
    <w:rsid w:val="5A6C4CE3"/>
    <w:rsid w:val="5A7537A1"/>
    <w:rsid w:val="5A7F4A16"/>
    <w:rsid w:val="5A82520F"/>
    <w:rsid w:val="5A84202D"/>
    <w:rsid w:val="5A8913F1"/>
    <w:rsid w:val="5A8C2C8F"/>
    <w:rsid w:val="5A9A2DF5"/>
    <w:rsid w:val="5A9F29C3"/>
    <w:rsid w:val="5A9F4452"/>
    <w:rsid w:val="5AA004E9"/>
    <w:rsid w:val="5AAA3A4D"/>
    <w:rsid w:val="5AAE2C06"/>
    <w:rsid w:val="5AB04BD0"/>
    <w:rsid w:val="5AB81CD6"/>
    <w:rsid w:val="5ABA7B4C"/>
    <w:rsid w:val="5ABB06F3"/>
    <w:rsid w:val="5ABC3575"/>
    <w:rsid w:val="5AC01FEC"/>
    <w:rsid w:val="5AC62645"/>
    <w:rsid w:val="5AC8016B"/>
    <w:rsid w:val="5ACE5056"/>
    <w:rsid w:val="5AD73617"/>
    <w:rsid w:val="5ADC7773"/>
    <w:rsid w:val="5AE1122D"/>
    <w:rsid w:val="5AE445AB"/>
    <w:rsid w:val="5AE76118"/>
    <w:rsid w:val="5AE900E2"/>
    <w:rsid w:val="5AF0571F"/>
    <w:rsid w:val="5AF2343A"/>
    <w:rsid w:val="5AF96577"/>
    <w:rsid w:val="5AFB00D3"/>
    <w:rsid w:val="5B0007B9"/>
    <w:rsid w:val="5B062A42"/>
    <w:rsid w:val="5B106C74"/>
    <w:rsid w:val="5B1C4013"/>
    <w:rsid w:val="5B2153D8"/>
    <w:rsid w:val="5B2A58B0"/>
    <w:rsid w:val="5B331769"/>
    <w:rsid w:val="5B4930EB"/>
    <w:rsid w:val="5B523ED9"/>
    <w:rsid w:val="5B701542"/>
    <w:rsid w:val="5B7256D3"/>
    <w:rsid w:val="5B726329"/>
    <w:rsid w:val="5B77749C"/>
    <w:rsid w:val="5B7C10C5"/>
    <w:rsid w:val="5B7C3DA5"/>
    <w:rsid w:val="5B8553B5"/>
    <w:rsid w:val="5B8816A9"/>
    <w:rsid w:val="5B8B1199"/>
    <w:rsid w:val="5B8D3163"/>
    <w:rsid w:val="5B954B52"/>
    <w:rsid w:val="5B9638B5"/>
    <w:rsid w:val="5BA150F8"/>
    <w:rsid w:val="5BA32C57"/>
    <w:rsid w:val="5BA54009"/>
    <w:rsid w:val="5BAA5AC3"/>
    <w:rsid w:val="5BAE178A"/>
    <w:rsid w:val="5BAF4E87"/>
    <w:rsid w:val="5BB02633"/>
    <w:rsid w:val="5BB57FC4"/>
    <w:rsid w:val="5BB61B2F"/>
    <w:rsid w:val="5BB86614"/>
    <w:rsid w:val="5BB93F58"/>
    <w:rsid w:val="5BBC75A4"/>
    <w:rsid w:val="5BC11016"/>
    <w:rsid w:val="5BC528FD"/>
    <w:rsid w:val="5BC546AB"/>
    <w:rsid w:val="5BC56459"/>
    <w:rsid w:val="5BC86423"/>
    <w:rsid w:val="5BD30872"/>
    <w:rsid w:val="5BD82630"/>
    <w:rsid w:val="5BD90B93"/>
    <w:rsid w:val="5BE755A7"/>
    <w:rsid w:val="5BEA2363"/>
    <w:rsid w:val="5BFB00CD"/>
    <w:rsid w:val="5BFE1C28"/>
    <w:rsid w:val="5C0402BC"/>
    <w:rsid w:val="5C07171A"/>
    <w:rsid w:val="5C074CC3"/>
    <w:rsid w:val="5C0827EA"/>
    <w:rsid w:val="5C0A47B4"/>
    <w:rsid w:val="5C1178F0"/>
    <w:rsid w:val="5C180C7F"/>
    <w:rsid w:val="5C1967A5"/>
    <w:rsid w:val="5C1B79E0"/>
    <w:rsid w:val="5C1C7225"/>
    <w:rsid w:val="5C321615"/>
    <w:rsid w:val="5C326C26"/>
    <w:rsid w:val="5C335AD2"/>
    <w:rsid w:val="5C38718B"/>
    <w:rsid w:val="5C3B188D"/>
    <w:rsid w:val="5C3D7952"/>
    <w:rsid w:val="5C425CFC"/>
    <w:rsid w:val="5C49708A"/>
    <w:rsid w:val="5C531CB7"/>
    <w:rsid w:val="5C643EC4"/>
    <w:rsid w:val="5C732359"/>
    <w:rsid w:val="5C734107"/>
    <w:rsid w:val="5C8956D8"/>
    <w:rsid w:val="5C8B76A2"/>
    <w:rsid w:val="5C9A5B38"/>
    <w:rsid w:val="5C9B55BD"/>
    <w:rsid w:val="5CA2679A"/>
    <w:rsid w:val="5CA54B0C"/>
    <w:rsid w:val="5CA943D8"/>
    <w:rsid w:val="5CAB1AF3"/>
    <w:rsid w:val="5CAB2F9C"/>
    <w:rsid w:val="5CB84210"/>
    <w:rsid w:val="5CC44962"/>
    <w:rsid w:val="5CC73208"/>
    <w:rsid w:val="5CC93D27"/>
    <w:rsid w:val="5CD539C2"/>
    <w:rsid w:val="5CDA23D8"/>
    <w:rsid w:val="5CDC2A68"/>
    <w:rsid w:val="5CE46DB3"/>
    <w:rsid w:val="5CF52D6E"/>
    <w:rsid w:val="5CF54B1C"/>
    <w:rsid w:val="5D0336DD"/>
    <w:rsid w:val="5D07484F"/>
    <w:rsid w:val="5D096819"/>
    <w:rsid w:val="5D0D1FC9"/>
    <w:rsid w:val="5D0D6309"/>
    <w:rsid w:val="5D107BA8"/>
    <w:rsid w:val="5D123920"/>
    <w:rsid w:val="5D1321A4"/>
    <w:rsid w:val="5D156F6C"/>
    <w:rsid w:val="5D1A0A26"/>
    <w:rsid w:val="5D2418A5"/>
    <w:rsid w:val="5D245401"/>
    <w:rsid w:val="5D246320"/>
    <w:rsid w:val="5D2C7825"/>
    <w:rsid w:val="5D2D4B78"/>
    <w:rsid w:val="5D303DA6"/>
    <w:rsid w:val="5D331AE8"/>
    <w:rsid w:val="5D46181B"/>
    <w:rsid w:val="5D487342"/>
    <w:rsid w:val="5D4A130C"/>
    <w:rsid w:val="5D4E24FD"/>
    <w:rsid w:val="5D4E7523"/>
    <w:rsid w:val="5D56196D"/>
    <w:rsid w:val="5D577585"/>
    <w:rsid w:val="5D5932FD"/>
    <w:rsid w:val="5D6E48CE"/>
    <w:rsid w:val="5D746389"/>
    <w:rsid w:val="5D775E79"/>
    <w:rsid w:val="5D8365CC"/>
    <w:rsid w:val="5D8A795A"/>
    <w:rsid w:val="5D8B2E10"/>
    <w:rsid w:val="5D902A97"/>
    <w:rsid w:val="5D92680F"/>
    <w:rsid w:val="5D996B17"/>
    <w:rsid w:val="5DA36C6E"/>
    <w:rsid w:val="5DA56FDF"/>
    <w:rsid w:val="5DA77A57"/>
    <w:rsid w:val="5DAA3B58"/>
    <w:rsid w:val="5DB20C5F"/>
    <w:rsid w:val="5DBA0DD1"/>
    <w:rsid w:val="5DBE10E1"/>
    <w:rsid w:val="5DBE5856"/>
    <w:rsid w:val="5DD57E57"/>
    <w:rsid w:val="5DDD4941"/>
    <w:rsid w:val="5DDE1A54"/>
    <w:rsid w:val="5DE04823"/>
    <w:rsid w:val="5DE17BB5"/>
    <w:rsid w:val="5DE35DF5"/>
    <w:rsid w:val="5DE8337C"/>
    <w:rsid w:val="5DEF1EB3"/>
    <w:rsid w:val="5DF3340F"/>
    <w:rsid w:val="5E06344E"/>
    <w:rsid w:val="5E0A2849"/>
    <w:rsid w:val="5E0F35C8"/>
    <w:rsid w:val="5E176D14"/>
    <w:rsid w:val="5E244E0E"/>
    <w:rsid w:val="5E2D6453"/>
    <w:rsid w:val="5E315EEB"/>
    <w:rsid w:val="5E3374F8"/>
    <w:rsid w:val="5E36363E"/>
    <w:rsid w:val="5E3B0C54"/>
    <w:rsid w:val="5E457D25"/>
    <w:rsid w:val="5E464238"/>
    <w:rsid w:val="5E4853B5"/>
    <w:rsid w:val="5E4915C3"/>
    <w:rsid w:val="5E4C2E61"/>
    <w:rsid w:val="5E4D3C99"/>
    <w:rsid w:val="5E587A58"/>
    <w:rsid w:val="5E6A153A"/>
    <w:rsid w:val="5E713EF6"/>
    <w:rsid w:val="5E741BBE"/>
    <w:rsid w:val="5E7A5C21"/>
    <w:rsid w:val="5E7A79CF"/>
    <w:rsid w:val="5E7B3747"/>
    <w:rsid w:val="5E7C270D"/>
    <w:rsid w:val="5E7F3237"/>
    <w:rsid w:val="5E800D5D"/>
    <w:rsid w:val="5E873E9A"/>
    <w:rsid w:val="5E8C325E"/>
    <w:rsid w:val="5E8F2D4E"/>
    <w:rsid w:val="5E9103AB"/>
    <w:rsid w:val="5E9A44E8"/>
    <w:rsid w:val="5E9D36BD"/>
    <w:rsid w:val="5EA83FDD"/>
    <w:rsid w:val="5EAB6706"/>
    <w:rsid w:val="5EB10F16"/>
    <w:rsid w:val="5EBF736B"/>
    <w:rsid w:val="5EC407DA"/>
    <w:rsid w:val="5ECA1FD8"/>
    <w:rsid w:val="5ECC3FA2"/>
    <w:rsid w:val="5ECF75EF"/>
    <w:rsid w:val="5EDD7F5D"/>
    <w:rsid w:val="5EDE31B9"/>
    <w:rsid w:val="5EE17A4E"/>
    <w:rsid w:val="5EE57563"/>
    <w:rsid w:val="5EF552A7"/>
    <w:rsid w:val="5F0458F0"/>
    <w:rsid w:val="5F047CD6"/>
    <w:rsid w:val="5F17346F"/>
    <w:rsid w:val="5F1A0FBD"/>
    <w:rsid w:val="5F2361A5"/>
    <w:rsid w:val="5F2913F5"/>
    <w:rsid w:val="5F2D74AC"/>
    <w:rsid w:val="5F3327F8"/>
    <w:rsid w:val="5F37766E"/>
    <w:rsid w:val="5F396D54"/>
    <w:rsid w:val="5F3B2DA6"/>
    <w:rsid w:val="5F3F4774"/>
    <w:rsid w:val="5F486B7B"/>
    <w:rsid w:val="5F4C5CE4"/>
    <w:rsid w:val="5F4D6FE9"/>
    <w:rsid w:val="5F4E6765"/>
    <w:rsid w:val="5F5875E4"/>
    <w:rsid w:val="5F5F0683"/>
    <w:rsid w:val="5F697A43"/>
    <w:rsid w:val="5F7206A6"/>
    <w:rsid w:val="5F771FEE"/>
    <w:rsid w:val="5F795ED8"/>
    <w:rsid w:val="5F7A1C50"/>
    <w:rsid w:val="5F7A3DB4"/>
    <w:rsid w:val="5F7F2DC3"/>
    <w:rsid w:val="5F81073D"/>
    <w:rsid w:val="5F825076"/>
    <w:rsid w:val="5F862600"/>
    <w:rsid w:val="5F922AF6"/>
    <w:rsid w:val="5F954394"/>
    <w:rsid w:val="5FA15FFE"/>
    <w:rsid w:val="5FA647F3"/>
    <w:rsid w:val="5FAA6092"/>
    <w:rsid w:val="5FAD5B82"/>
    <w:rsid w:val="5FB32A6C"/>
    <w:rsid w:val="5FB40CBE"/>
    <w:rsid w:val="5FB44474"/>
    <w:rsid w:val="5FB92779"/>
    <w:rsid w:val="5FBE7D8F"/>
    <w:rsid w:val="5FC058B5"/>
    <w:rsid w:val="5FC1162D"/>
    <w:rsid w:val="5FCB425A"/>
    <w:rsid w:val="5FCC621C"/>
    <w:rsid w:val="5FD63070"/>
    <w:rsid w:val="5FDE0899"/>
    <w:rsid w:val="5FE448ED"/>
    <w:rsid w:val="5FE86BBA"/>
    <w:rsid w:val="5FEF0964"/>
    <w:rsid w:val="5FEF619A"/>
    <w:rsid w:val="5FF40A7C"/>
    <w:rsid w:val="5FFC08B7"/>
    <w:rsid w:val="5FFC2665"/>
    <w:rsid w:val="600C3FC5"/>
    <w:rsid w:val="6017124D"/>
    <w:rsid w:val="601B4DC9"/>
    <w:rsid w:val="601C37F7"/>
    <w:rsid w:val="60227A3D"/>
    <w:rsid w:val="602C74AA"/>
    <w:rsid w:val="602E3FC3"/>
    <w:rsid w:val="60326087"/>
    <w:rsid w:val="60363DC9"/>
    <w:rsid w:val="60397415"/>
    <w:rsid w:val="604162CA"/>
    <w:rsid w:val="60457B68"/>
    <w:rsid w:val="6049134D"/>
    <w:rsid w:val="604A33D1"/>
    <w:rsid w:val="60624BBE"/>
    <w:rsid w:val="606326E4"/>
    <w:rsid w:val="606400D0"/>
    <w:rsid w:val="606A75CF"/>
    <w:rsid w:val="6070184B"/>
    <w:rsid w:val="607246D5"/>
    <w:rsid w:val="607D5554"/>
    <w:rsid w:val="60803443"/>
    <w:rsid w:val="60813A25"/>
    <w:rsid w:val="60830691"/>
    <w:rsid w:val="6089214B"/>
    <w:rsid w:val="60911000"/>
    <w:rsid w:val="60924CBB"/>
    <w:rsid w:val="60932FCA"/>
    <w:rsid w:val="60996106"/>
    <w:rsid w:val="609D79A4"/>
    <w:rsid w:val="609F196E"/>
    <w:rsid w:val="60A30D33"/>
    <w:rsid w:val="60A84F66"/>
    <w:rsid w:val="60AC408B"/>
    <w:rsid w:val="60AF30CB"/>
    <w:rsid w:val="60B43D90"/>
    <w:rsid w:val="60B45013"/>
    <w:rsid w:val="60B7371D"/>
    <w:rsid w:val="60BB3DF0"/>
    <w:rsid w:val="60BE791B"/>
    <w:rsid w:val="60C41052"/>
    <w:rsid w:val="60C61658"/>
    <w:rsid w:val="60D13AF2"/>
    <w:rsid w:val="60D86C2E"/>
    <w:rsid w:val="60DF3F53"/>
    <w:rsid w:val="60E05AE3"/>
    <w:rsid w:val="60E20FBA"/>
    <w:rsid w:val="60EF46F9"/>
    <w:rsid w:val="60F65306"/>
    <w:rsid w:val="60FD6695"/>
    <w:rsid w:val="61016185"/>
    <w:rsid w:val="610572F8"/>
    <w:rsid w:val="61057939"/>
    <w:rsid w:val="6116592C"/>
    <w:rsid w:val="61171AD8"/>
    <w:rsid w:val="6120619C"/>
    <w:rsid w:val="612A5B6E"/>
    <w:rsid w:val="6133661F"/>
    <w:rsid w:val="61371BA7"/>
    <w:rsid w:val="6138591F"/>
    <w:rsid w:val="613C3CAB"/>
    <w:rsid w:val="61414EC5"/>
    <w:rsid w:val="61446072"/>
    <w:rsid w:val="61493688"/>
    <w:rsid w:val="614D672E"/>
    <w:rsid w:val="614E344B"/>
    <w:rsid w:val="61573FF7"/>
    <w:rsid w:val="615801F2"/>
    <w:rsid w:val="61631C7B"/>
    <w:rsid w:val="6163668F"/>
    <w:rsid w:val="616C473C"/>
    <w:rsid w:val="61713772"/>
    <w:rsid w:val="61774699"/>
    <w:rsid w:val="618B4367"/>
    <w:rsid w:val="618C118B"/>
    <w:rsid w:val="6198332B"/>
    <w:rsid w:val="619A2136"/>
    <w:rsid w:val="619E1C26"/>
    <w:rsid w:val="61A67AA2"/>
    <w:rsid w:val="61A97D1C"/>
    <w:rsid w:val="61AD3C17"/>
    <w:rsid w:val="61BA27D8"/>
    <w:rsid w:val="61BE5E24"/>
    <w:rsid w:val="61C227A7"/>
    <w:rsid w:val="61D27B22"/>
    <w:rsid w:val="61D513C0"/>
    <w:rsid w:val="61D73EAA"/>
    <w:rsid w:val="61D90EB0"/>
    <w:rsid w:val="61D94A0C"/>
    <w:rsid w:val="61DA0784"/>
    <w:rsid w:val="61E15FB7"/>
    <w:rsid w:val="61E6605A"/>
    <w:rsid w:val="61E810F3"/>
    <w:rsid w:val="61EA1238"/>
    <w:rsid w:val="61EB5066"/>
    <w:rsid w:val="61EB7FB6"/>
    <w:rsid w:val="61FC06FB"/>
    <w:rsid w:val="61FE26C5"/>
    <w:rsid w:val="6200468F"/>
    <w:rsid w:val="62061760"/>
    <w:rsid w:val="620C3034"/>
    <w:rsid w:val="621A6DD3"/>
    <w:rsid w:val="62206ADF"/>
    <w:rsid w:val="6223037D"/>
    <w:rsid w:val="622A06E2"/>
    <w:rsid w:val="623071B9"/>
    <w:rsid w:val="62343A8E"/>
    <w:rsid w:val="623F0BA1"/>
    <w:rsid w:val="62410763"/>
    <w:rsid w:val="62426BFF"/>
    <w:rsid w:val="624342B4"/>
    <w:rsid w:val="62467BC8"/>
    <w:rsid w:val="62514EEA"/>
    <w:rsid w:val="625B7F4B"/>
    <w:rsid w:val="626544F2"/>
    <w:rsid w:val="62662018"/>
    <w:rsid w:val="62677DAD"/>
    <w:rsid w:val="626A1B08"/>
    <w:rsid w:val="626D15F8"/>
    <w:rsid w:val="627916FC"/>
    <w:rsid w:val="627921C2"/>
    <w:rsid w:val="627E4281"/>
    <w:rsid w:val="62944DD7"/>
    <w:rsid w:val="629848C7"/>
    <w:rsid w:val="62B334AF"/>
    <w:rsid w:val="62BD432E"/>
    <w:rsid w:val="62C0797A"/>
    <w:rsid w:val="62C46C97"/>
    <w:rsid w:val="62C51434"/>
    <w:rsid w:val="62CE0314"/>
    <w:rsid w:val="62D11B87"/>
    <w:rsid w:val="62D545FB"/>
    <w:rsid w:val="62D6719E"/>
    <w:rsid w:val="62D74037"/>
    <w:rsid w:val="62DB5DE4"/>
    <w:rsid w:val="62E24D01"/>
    <w:rsid w:val="62E47B0C"/>
    <w:rsid w:val="62E66850"/>
    <w:rsid w:val="62EC30D4"/>
    <w:rsid w:val="62EC69C1"/>
    <w:rsid w:val="62F675F7"/>
    <w:rsid w:val="62F82866"/>
    <w:rsid w:val="62FA10DE"/>
    <w:rsid w:val="62FB3D38"/>
    <w:rsid w:val="62FC0B3D"/>
    <w:rsid w:val="630C109F"/>
    <w:rsid w:val="630E6937"/>
    <w:rsid w:val="630F26B0"/>
    <w:rsid w:val="631448DA"/>
    <w:rsid w:val="632B74E9"/>
    <w:rsid w:val="63343EC4"/>
    <w:rsid w:val="63367C3C"/>
    <w:rsid w:val="633A01DC"/>
    <w:rsid w:val="633B5253"/>
    <w:rsid w:val="634265E1"/>
    <w:rsid w:val="634467FD"/>
    <w:rsid w:val="634A6574"/>
    <w:rsid w:val="63534C92"/>
    <w:rsid w:val="635527B8"/>
    <w:rsid w:val="635D341B"/>
    <w:rsid w:val="63610134"/>
    <w:rsid w:val="636C18B0"/>
    <w:rsid w:val="636D582F"/>
    <w:rsid w:val="637548C8"/>
    <w:rsid w:val="637864A7"/>
    <w:rsid w:val="637A3FCD"/>
    <w:rsid w:val="63834150"/>
    <w:rsid w:val="638650D4"/>
    <w:rsid w:val="6398432D"/>
    <w:rsid w:val="639F3A33"/>
    <w:rsid w:val="63A55F03"/>
    <w:rsid w:val="63A848E9"/>
    <w:rsid w:val="63C33BC6"/>
    <w:rsid w:val="63C35974"/>
    <w:rsid w:val="63C60FC0"/>
    <w:rsid w:val="63C811DC"/>
    <w:rsid w:val="63CB3C77"/>
    <w:rsid w:val="63D00091"/>
    <w:rsid w:val="63D01E3F"/>
    <w:rsid w:val="63D12006"/>
    <w:rsid w:val="63D61AC1"/>
    <w:rsid w:val="63E20382"/>
    <w:rsid w:val="63E458EA"/>
    <w:rsid w:val="63E8362C"/>
    <w:rsid w:val="63EE37FF"/>
    <w:rsid w:val="63F27C87"/>
    <w:rsid w:val="63F53E92"/>
    <w:rsid w:val="63F81B90"/>
    <w:rsid w:val="63FD075A"/>
    <w:rsid w:val="6417421C"/>
    <w:rsid w:val="641F4B74"/>
    <w:rsid w:val="641F6922"/>
    <w:rsid w:val="642108EC"/>
    <w:rsid w:val="64226328"/>
    <w:rsid w:val="6424610D"/>
    <w:rsid w:val="642F3009"/>
    <w:rsid w:val="64426DE8"/>
    <w:rsid w:val="64436353"/>
    <w:rsid w:val="64491D5B"/>
    <w:rsid w:val="644D7933"/>
    <w:rsid w:val="644F0FB6"/>
    <w:rsid w:val="644F7208"/>
    <w:rsid w:val="645967E3"/>
    <w:rsid w:val="645D4678"/>
    <w:rsid w:val="645E5676"/>
    <w:rsid w:val="64654C7D"/>
    <w:rsid w:val="64656A2B"/>
    <w:rsid w:val="64737361"/>
    <w:rsid w:val="648275DD"/>
    <w:rsid w:val="64846409"/>
    <w:rsid w:val="6486074F"/>
    <w:rsid w:val="648669A1"/>
    <w:rsid w:val="648C7F66"/>
    <w:rsid w:val="649B069F"/>
    <w:rsid w:val="64A5151D"/>
    <w:rsid w:val="64A70DF2"/>
    <w:rsid w:val="64AA6B34"/>
    <w:rsid w:val="64BB664B"/>
    <w:rsid w:val="64BE6945"/>
    <w:rsid w:val="64BF367A"/>
    <w:rsid w:val="64C21846"/>
    <w:rsid w:val="64C73242"/>
    <w:rsid w:val="64C84907"/>
    <w:rsid w:val="64D47006"/>
    <w:rsid w:val="64DF6D0B"/>
    <w:rsid w:val="64E77440"/>
    <w:rsid w:val="65004C7E"/>
    <w:rsid w:val="65092309"/>
    <w:rsid w:val="65150451"/>
    <w:rsid w:val="651B17E0"/>
    <w:rsid w:val="651B2A4B"/>
    <w:rsid w:val="651F307E"/>
    <w:rsid w:val="652A54B0"/>
    <w:rsid w:val="652C6F14"/>
    <w:rsid w:val="652F0DE7"/>
    <w:rsid w:val="652F6561"/>
    <w:rsid w:val="652F7039"/>
    <w:rsid w:val="653B1E64"/>
    <w:rsid w:val="653D3504"/>
    <w:rsid w:val="654523B9"/>
    <w:rsid w:val="654E5711"/>
    <w:rsid w:val="65516FAF"/>
    <w:rsid w:val="65534AD5"/>
    <w:rsid w:val="65573688"/>
    <w:rsid w:val="6557621F"/>
    <w:rsid w:val="6558008C"/>
    <w:rsid w:val="655A2308"/>
    <w:rsid w:val="655C3007"/>
    <w:rsid w:val="655D4770"/>
    <w:rsid w:val="656C3DE9"/>
    <w:rsid w:val="65705687"/>
    <w:rsid w:val="65856C59"/>
    <w:rsid w:val="658E7B9D"/>
    <w:rsid w:val="65931376"/>
    <w:rsid w:val="659506B8"/>
    <w:rsid w:val="65A11CE5"/>
    <w:rsid w:val="65A20935"/>
    <w:rsid w:val="65BA2DA7"/>
    <w:rsid w:val="65BB562A"/>
    <w:rsid w:val="65BC08CD"/>
    <w:rsid w:val="65BF4DCF"/>
    <w:rsid w:val="65CE23AE"/>
    <w:rsid w:val="65D76BA2"/>
    <w:rsid w:val="65E107A1"/>
    <w:rsid w:val="65E16585"/>
    <w:rsid w:val="65E676F8"/>
    <w:rsid w:val="65EA751F"/>
    <w:rsid w:val="65EB7404"/>
    <w:rsid w:val="65ED4F2A"/>
    <w:rsid w:val="65ED7AD7"/>
    <w:rsid w:val="65F242EE"/>
    <w:rsid w:val="66014151"/>
    <w:rsid w:val="66056E07"/>
    <w:rsid w:val="660B715E"/>
    <w:rsid w:val="660D737A"/>
    <w:rsid w:val="661029C7"/>
    <w:rsid w:val="66106E6A"/>
    <w:rsid w:val="66141BB6"/>
    <w:rsid w:val="662841B4"/>
    <w:rsid w:val="66304E17"/>
    <w:rsid w:val="663743F7"/>
    <w:rsid w:val="66432D9C"/>
    <w:rsid w:val="664348A0"/>
    <w:rsid w:val="664D3C1B"/>
    <w:rsid w:val="66576847"/>
    <w:rsid w:val="66583C79"/>
    <w:rsid w:val="665A1E94"/>
    <w:rsid w:val="665F742F"/>
    <w:rsid w:val="66735715"/>
    <w:rsid w:val="66754F1F"/>
    <w:rsid w:val="6679056C"/>
    <w:rsid w:val="66800AE9"/>
    <w:rsid w:val="66812FCE"/>
    <w:rsid w:val="668506C7"/>
    <w:rsid w:val="66860EDB"/>
    <w:rsid w:val="66882449"/>
    <w:rsid w:val="66882EA5"/>
    <w:rsid w:val="668F4233"/>
    <w:rsid w:val="66990C0E"/>
    <w:rsid w:val="66A0343A"/>
    <w:rsid w:val="66A562F6"/>
    <w:rsid w:val="66A7031D"/>
    <w:rsid w:val="66AF0431"/>
    <w:rsid w:val="66B772E6"/>
    <w:rsid w:val="66BB049A"/>
    <w:rsid w:val="66BE0674"/>
    <w:rsid w:val="66BFBBC6"/>
    <w:rsid w:val="66C023A3"/>
    <w:rsid w:val="66C31859"/>
    <w:rsid w:val="66C7589F"/>
    <w:rsid w:val="66CA526B"/>
    <w:rsid w:val="66CD3C37"/>
    <w:rsid w:val="66CD49A5"/>
    <w:rsid w:val="66E4436D"/>
    <w:rsid w:val="66EA76BB"/>
    <w:rsid w:val="66EF6A80"/>
    <w:rsid w:val="66F75934"/>
    <w:rsid w:val="66F83B86"/>
    <w:rsid w:val="66FD52AF"/>
    <w:rsid w:val="67074C6F"/>
    <w:rsid w:val="6708725E"/>
    <w:rsid w:val="670A1B0C"/>
    <w:rsid w:val="670C119E"/>
    <w:rsid w:val="670E33AA"/>
    <w:rsid w:val="6716225F"/>
    <w:rsid w:val="67185FD7"/>
    <w:rsid w:val="671D539B"/>
    <w:rsid w:val="6723497B"/>
    <w:rsid w:val="672A3F31"/>
    <w:rsid w:val="672A7AB8"/>
    <w:rsid w:val="672C55DE"/>
    <w:rsid w:val="672D1356"/>
    <w:rsid w:val="6743344B"/>
    <w:rsid w:val="67456D79"/>
    <w:rsid w:val="67474204"/>
    <w:rsid w:val="674768BC"/>
    <w:rsid w:val="674E075B"/>
    <w:rsid w:val="676254A4"/>
    <w:rsid w:val="6769676B"/>
    <w:rsid w:val="676C1E7F"/>
    <w:rsid w:val="677156E7"/>
    <w:rsid w:val="67753429"/>
    <w:rsid w:val="67780EDA"/>
    <w:rsid w:val="67782732"/>
    <w:rsid w:val="67803B7C"/>
    <w:rsid w:val="678216A2"/>
    <w:rsid w:val="67822461"/>
    <w:rsid w:val="67873875"/>
    <w:rsid w:val="678A0557"/>
    <w:rsid w:val="678A5A74"/>
    <w:rsid w:val="678C47CB"/>
    <w:rsid w:val="678F3DBF"/>
    <w:rsid w:val="67915D89"/>
    <w:rsid w:val="67933F73"/>
    <w:rsid w:val="6796094E"/>
    <w:rsid w:val="67A40A13"/>
    <w:rsid w:val="67A56B39"/>
    <w:rsid w:val="67B37AAD"/>
    <w:rsid w:val="67BE30CB"/>
    <w:rsid w:val="67BE346E"/>
    <w:rsid w:val="67BF6452"/>
    <w:rsid w:val="67C223E6"/>
    <w:rsid w:val="67C35B87"/>
    <w:rsid w:val="67C717AB"/>
    <w:rsid w:val="67C779FD"/>
    <w:rsid w:val="67C972D1"/>
    <w:rsid w:val="67E87F2D"/>
    <w:rsid w:val="67F10FEB"/>
    <w:rsid w:val="68040309"/>
    <w:rsid w:val="6804655B"/>
    <w:rsid w:val="68060525"/>
    <w:rsid w:val="68076E37"/>
    <w:rsid w:val="680927AD"/>
    <w:rsid w:val="681718AE"/>
    <w:rsid w:val="681A18DB"/>
    <w:rsid w:val="681A5D7E"/>
    <w:rsid w:val="681C5653"/>
    <w:rsid w:val="682039C4"/>
    <w:rsid w:val="682B1D3A"/>
    <w:rsid w:val="682E35D8"/>
    <w:rsid w:val="68307350"/>
    <w:rsid w:val="683536BE"/>
    <w:rsid w:val="683706DE"/>
    <w:rsid w:val="683C3F47"/>
    <w:rsid w:val="684B5661"/>
    <w:rsid w:val="684E58C1"/>
    <w:rsid w:val="6852376A"/>
    <w:rsid w:val="685A43CD"/>
    <w:rsid w:val="685E549B"/>
    <w:rsid w:val="686748BD"/>
    <w:rsid w:val="686750BD"/>
    <w:rsid w:val="68680898"/>
    <w:rsid w:val="68686AEA"/>
    <w:rsid w:val="686F60CA"/>
    <w:rsid w:val="686F7E78"/>
    <w:rsid w:val="687264E6"/>
    <w:rsid w:val="68774F7F"/>
    <w:rsid w:val="68804F67"/>
    <w:rsid w:val="68806C51"/>
    <w:rsid w:val="68831B76"/>
    <w:rsid w:val="688C0A43"/>
    <w:rsid w:val="689C49E5"/>
    <w:rsid w:val="689C4BF4"/>
    <w:rsid w:val="689F131E"/>
    <w:rsid w:val="689F73B6"/>
    <w:rsid w:val="68A23FFE"/>
    <w:rsid w:val="68A74F2D"/>
    <w:rsid w:val="68AA7102"/>
    <w:rsid w:val="68AF64C7"/>
    <w:rsid w:val="68B03FED"/>
    <w:rsid w:val="68C12C76"/>
    <w:rsid w:val="68C63810"/>
    <w:rsid w:val="68CE2BCD"/>
    <w:rsid w:val="68D7059E"/>
    <w:rsid w:val="68DA2CCE"/>
    <w:rsid w:val="68E819D9"/>
    <w:rsid w:val="68F20AA9"/>
    <w:rsid w:val="68FE2FAA"/>
    <w:rsid w:val="69036813"/>
    <w:rsid w:val="69085BD7"/>
    <w:rsid w:val="69135570"/>
    <w:rsid w:val="69181CC6"/>
    <w:rsid w:val="69260EC1"/>
    <w:rsid w:val="69320EA6"/>
    <w:rsid w:val="693371BC"/>
    <w:rsid w:val="69382B2F"/>
    <w:rsid w:val="693966D8"/>
    <w:rsid w:val="693C27F9"/>
    <w:rsid w:val="693F6F53"/>
    <w:rsid w:val="69407A67"/>
    <w:rsid w:val="69434E61"/>
    <w:rsid w:val="69442AB5"/>
    <w:rsid w:val="694660AE"/>
    <w:rsid w:val="69476B0F"/>
    <w:rsid w:val="69531548"/>
    <w:rsid w:val="696372B1"/>
    <w:rsid w:val="69653029"/>
    <w:rsid w:val="696D4DFA"/>
    <w:rsid w:val="69821E2D"/>
    <w:rsid w:val="698536CB"/>
    <w:rsid w:val="69855479"/>
    <w:rsid w:val="698B02B8"/>
    <w:rsid w:val="698D5243"/>
    <w:rsid w:val="6990454A"/>
    <w:rsid w:val="69981651"/>
    <w:rsid w:val="69992B94"/>
    <w:rsid w:val="69A524AE"/>
    <w:rsid w:val="69AE49D0"/>
    <w:rsid w:val="69B47B0D"/>
    <w:rsid w:val="69B55D5F"/>
    <w:rsid w:val="69BA15C7"/>
    <w:rsid w:val="69BB533F"/>
    <w:rsid w:val="69BD2E65"/>
    <w:rsid w:val="69C064B2"/>
    <w:rsid w:val="69C51D1A"/>
    <w:rsid w:val="69C62E78"/>
    <w:rsid w:val="69D32689"/>
    <w:rsid w:val="69DA57C5"/>
    <w:rsid w:val="69DD2347"/>
    <w:rsid w:val="69EE301F"/>
    <w:rsid w:val="69F04FE9"/>
    <w:rsid w:val="69F34AD9"/>
    <w:rsid w:val="69FA5E67"/>
    <w:rsid w:val="69FD14B4"/>
    <w:rsid w:val="6A050368"/>
    <w:rsid w:val="6A062B68"/>
    <w:rsid w:val="6A0C7949"/>
    <w:rsid w:val="6A132F25"/>
    <w:rsid w:val="6A220F1A"/>
    <w:rsid w:val="6A2E1B8E"/>
    <w:rsid w:val="6A2E6E71"/>
    <w:rsid w:val="6A2F0CBC"/>
    <w:rsid w:val="6A303637"/>
    <w:rsid w:val="6A316C25"/>
    <w:rsid w:val="6A413A96"/>
    <w:rsid w:val="6A49294B"/>
    <w:rsid w:val="6A4B4E73"/>
    <w:rsid w:val="6A4B51AA"/>
    <w:rsid w:val="6A5256C8"/>
    <w:rsid w:val="6A5437CA"/>
    <w:rsid w:val="6A5A4B58"/>
    <w:rsid w:val="6A5A7287"/>
    <w:rsid w:val="6A721EA2"/>
    <w:rsid w:val="6A7D43A3"/>
    <w:rsid w:val="6A845731"/>
    <w:rsid w:val="6A883473"/>
    <w:rsid w:val="6A892D47"/>
    <w:rsid w:val="6A894958"/>
    <w:rsid w:val="6A8B4D12"/>
    <w:rsid w:val="6A8E65B0"/>
    <w:rsid w:val="6A9736B6"/>
    <w:rsid w:val="6AAD536E"/>
    <w:rsid w:val="6AB51D8E"/>
    <w:rsid w:val="6ABC4ECB"/>
    <w:rsid w:val="6ABE60A8"/>
    <w:rsid w:val="6AC344AB"/>
    <w:rsid w:val="6AC454F4"/>
    <w:rsid w:val="6ACD783B"/>
    <w:rsid w:val="6ACF2E50"/>
    <w:rsid w:val="6AD47DD8"/>
    <w:rsid w:val="6AD70ED2"/>
    <w:rsid w:val="6AE663EC"/>
    <w:rsid w:val="6AF02DC7"/>
    <w:rsid w:val="6AF14D6B"/>
    <w:rsid w:val="6AF6692C"/>
    <w:rsid w:val="6B0420A3"/>
    <w:rsid w:val="6B051B0C"/>
    <w:rsid w:val="6B0A4EF5"/>
    <w:rsid w:val="6B0F35B4"/>
    <w:rsid w:val="6B106FC5"/>
    <w:rsid w:val="6B1D2776"/>
    <w:rsid w:val="6B250CC2"/>
    <w:rsid w:val="6B262257"/>
    <w:rsid w:val="6B2725BC"/>
    <w:rsid w:val="6B2807B2"/>
    <w:rsid w:val="6B2B3DFF"/>
    <w:rsid w:val="6B332A49"/>
    <w:rsid w:val="6B364566"/>
    <w:rsid w:val="6B3929BF"/>
    <w:rsid w:val="6B395DFF"/>
    <w:rsid w:val="6B3E1D84"/>
    <w:rsid w:val="6B414DA6"/>
    <w:rsid w:val="6B43739A"/>
    <w:rsid w:val="6B451364"/>
    <w:rsid w:val="6B4B024C"/>
    <w:rsid w:val="6B4D219F"/>
    <w:rsid w:val="6B596BBE"/>
    <w:rsid w:val="6B696C8B"/>
    <w:rsid w:val="6B7071D4"/>
    <w:rsid w:val="6B7E3F6B"/>
    <w:rsid w:val="6B811C71"/>
    <w:rsid w:val="6B864EA6"/>
    <w:rsid w:val="6B9032E0"/>
    <w:rsid w:val="6B9419A4"/>
    <w:rsid w:val="6B96396E"/>
    <w:rsid w:val="6B9D4CFC"/>
    <w:rsid w:val="6BA21BA1"/>
    <w:rsid w:val="6BA22313"/>
    <w:rsid w:val="6BA37E39"/>
    <w:rsid w:val="6BA50055"/>
    <w:rsid w:val="6BA75B7B"/>
    <w:rsid w:val="6BA86A50"/>
    <w:rsid w:val="6BB169FA"/>
    <w:rsid w:val="6BB64010"/>
    <w:rsid w:val="6BBB7E27"/>
    <w:rsid w:val="6BBE1A5F"/>
    <w:rsid w:val="6BC01F13"/>
    <w:rsid w:val="6BC32289"/>
    <w:rsid w:val="6BCC3834"/>
    <w:rsid w:val="6BCE135A"/>
    <w:rsid w:val="6BD821D8"/>
    <w:rsid w:val="6BD84FD5"/>
    <w:rsid w:val="6BDAF2CB"/>
    <w:rsid w:val="6BEB1F0C"/>
    <w:rsid w:val="6BEC358E"/>
    <w:rsid w:val="6BF30DC0"/>
    <w:rsid w:val="6BF32B6E"/>
    <w:rsid w:val="6C0F2716"/>
    <w:rsid w:val="6C1E7194"/>
    <w:rsid w:val="6C296590"/>
    <w:rsid w:val="6C3118E9"/>
    <w:rsid w:val="6C417BAE"/>
    <w:rsid w:val="6C445178"/>
    <w:rsid w:val="6C472EBA"/>
    <w:rsid w:val="6C4C227F"/>
    <w:rsid w:val="6C4E4249"/>
    <w:rsid w:val="6C5555D7"/>
    <w:rsid w:val="6C5D623A"/>
    <w:rsid w:val="6C600CDA"/>
    <w:rsid w:val="6C652DB8"/>
    <w:rsid w:val="6C6972D4"/>
    <w:rsid w:val="6C6D0B73"/>
    <w:rsid w:val="6C705F6D"/>
    <w:rsid w:val="6C727F37"/>
    <w:rsid w:val="6C7D4B2E"/>
    <w:rsid w:val="6C7E508E"/>
    <w:rsid w:val="6C822A63"/>
    <w:rsid w:val="6C856090"/>
    <w:rsid w:val="6C865914"/>
    <w:rsid w:val="6C8F24E8"/>
    <w:rsid w:val="6C924135"/>
    <w:rsid w:val="6C945E37"/>
    <w:rsid w:val="6C953C26"/>
    <w:rsid w:val="6C9854C4"/>
    <w:rsid w:val="6C9B77F2"/>
    <w:rsid w:val="6C9F2875"/>
    <w:rsid w:val="6CA87DFD"/>
    <w:rsid w:val="6CAA7E23"/>
    <w:rsid w:val="6CB247D7"/>
    <w:rsid w:val="6CB30550"/>
    <w:rsid w:val="6CC12C6C"/>
    <w:rsid w:val="6CC17163"/>
    <w:rsid w:val="6CC257AE"/>
    <w:rsid w:val="6CC62031"/>
    <w:rsid w:val="6CCC22D5"/>
    <w:rsid w:val="6CD72490"/>
    <w:rsid w:val="6CDA788A"/>
    <w:rsid w:val="6CDD7F92"/>
    <w:rsid w:val="6CDE3BFC"/>
    <w:rsid w:val="6CE37B6D"/>
    <w:rsid w:val="6CF21078"/>
    <w:rsid w:val="6CF26A17"/>
    <w:rsid w:val="6CF50EC1"/>
    <w:rsid w:val="6D042B59"/>
    <w:rsid w:val="6D07276D"/>
    <w:rsid w:val="6D1014FE"/>
    <w:rsid w:val="6D1C7EA3"/>
    <w:rsid w:val="6D1F1741"/>
    <w:rsid w:val="6D24486A"/>
    <w:rsid w:val="6D262AD0"/>
    <w:rsid w:val="6D325918"/>
    <w:rsid w:val="6D326DE0"/>
    <w:rsid w:val="6D3E42BD"/>
    <w:rsid w:val="6D45564C"/>
    <w:rsid w:val="6D463172"/>
    <w:rsid w:val="6D4C4C2C"/>
    <w:rsid w:val="6D541406"/>
    <w:rsid w:val="6D5533B5"/>
    <w:rsid w:val="6D57712D"/>
    <w:rsid w:val="6D5C4743"/>
    <w:rsid w:val="6D7D5B1F"/>
    <w:rsid w:val="6D82064E"/>
    <w:rsid w:val="6D885538"/>
    <w:rsid w:val="6D8A7502"/>
    <w:rsid w:val="6D99255B"/>
    <w:rsid w:val="6D9E2FAE"/>
    <w:rsid w:val="6DA560EA"/>
    <w:rsid w:val="6DA85BDA"/>
    <w:rsid w:val="6DAF6F69"/>
    <w:rsid w:val="6DB66549"/>
    <w:rsid w:val="6DBB76BC"/>
    <w:rsid w:val="6DC74250"/>
    <w:rsid w:val="6DC76061"/>
    <w:rsid w:val="6DD77C4F"/>
    <w:rsid w:val="6DDC3A43"/>
    <w:rsid w:val="6DE05374"/>
    <w:rsid w:val="6DE5082C"/>
    <w:rsid w:val="6DE97114"/>
    <w:rsid w:val="6DF835E5"/>
    <w:rsid w:val="6DFC1D81"/>
    <w:rsid w:val="6E155830"/>
    <w:rsid w:val="6E201C15"/>
    <w:rsid w:val="6E2039C3"/>
    <w:rsid w:val="6E250FD9"/>
    <w:rsid w:val="6E2B791C"/>
    <w:rsid w:val="6E2E7E8E"/>
    <w:rsid w:val="6E315BD0"/>
    <w:rsid w:val="6E330D5E"/>
    <w:rsid w:val="6E3B13C3"/>
    <w:rsid w:val="6E3C32A1"/>
    <w:rsid w:val="6E443B55"/>
    <w:rsid w:val="6E492F1A"/>
    <w:rsid w:val="6E4E6782"/>
    <w:rsid w:val="6E5673E4"/>
    <w:rsid w:val="6E6328EA"/>
    <w:rsid w:val="6E6C4E5A"/>
    <w:rsid w:val="6E6D76CF"/>
    <w:rsid w:val="6E6F4989"/>
    <w:rsid w:val="6E78714C"/>
    <w:rsid w:val="6E7A7E45"/>
    <w:rsid w:val="6E7F4B8D"/>
    <w:rsid w:val="6E816409"/>
    <w:rsid w:val="6E8504D1"/>
    <w:rsid w:val="6E873A42"/>
    <w:rsid w:val="6E891F0C"/>
    <w:rsid w:val="6E8D5E4E"/>
    <w:rsid w:val="6E9F2B3A"/>
    <w:rsid w:val="6EA6036C"/>
    <w:rsid w:val="6EAA61E1"/>
    <w:rsid w:val="6EAD34A8"/>
    <w:rsid w:val="6EB22634"/>
    <w:rsid w:val="6EB6475C"/>
    <w:rsid w:val="6EB81E4D"/>
    <w:rsid w:val="6EBD04E9"/>
    <w:rsid w:val="6EBD7464"/>
    <w:rsid w:val="6EC96B08"/>
    <w:rsid w:val="6ED30A35"/>
    <w:rsid w:val="6ED50C51"/>
    <w:rsid w:val="6EDC3D8E"/>
    <w:rsid w:val="6EDE7B06"/>
    <w:rsid w:val="6EE56679"/>
    <w:rsid w:val="6EE7080D"/>
    <w:rsid w:val="6EF35028"/>
    <w:rsid w:val="6EFB7725"/>
    <w:rsid w:val="6F034B29"/>
    <w:rsid w:val="6F062BB9"/>
    <w:rsid w:val="6F06705D"/>
    <w:rsid w:val="6F067393"/>
    <w:rsid w:val="6F084B83"/>
    <w:rsid w:val="6F0926A9"/>
    <w:rsid w:val="6F100DC0"/>
    <w:rsid w:val="6F102494"/>
    <w:rsid w:val="6F18586A"/>
    <w:rsid w:val="6F1B2B08"/>
    <w:rsid w:val="6F1F1ECC"/>
    <w:rsid w:val="6F23376B"/>
    <w:rsid w:val="6F340D22"/>
    <w:rsid w:val="6F395052"/>
    <w:rsid w:val="6F40256E"/>
    <w:rsid w:val="6F4300A0"/>
    <w:rsid w:val="6F4638FD"/>
    <w:rsid w:val="6F543924"/>
    <w:rsid w:val="6F5712D0"/>
    <w:rsid w:val="6F59718C"/>
    <w:rsid w:val="6F5E40CF"/>
    <w:rsid w:val="6F60676D"/>
    <w:rsid w:val="6F6447C8"/>
    <w:rsid w:val="6F651DBB"/>
    <w:rsid w:val="6F6535B7"/>
    <w:rsid w:val="6F6C062B"/>
    <w:rsid w:val="6F72024E"/>
    <w:rsid w:val="6F75672A"/>
    <w:rsid w:val="6F773AB6"/>
    <w:rsid w:val="6F810491"/>
    <w:rsid w:val="6F821F33"/>
    <w:rsid w:val="6F8801C2"/>
    <w:rsid w:val="6F881820"/>
    <w:rsid w:val="6F8C57B4"/>
    <w:rsid w:val="6F993A2D"/>
    <w:rsid w:val="6FA04DBB"/>
    <w:rsid w:val="6FAA3A06"/>
    <w:rsid w:val="6FAA487E"/>
    <w:rsid w:val="6FAE2100"/>
    <w:rsid w:val="6FB563EA"/>
    <w:rsid w:val="6FB865A9"/>
    <w:rsid w:val="6FBE3493"/>
    <w:rsid w:val="6FBF2F14"/>
    <w:rsid w:val="6FBF3137"/>
    <w:rsid w:val="6FC22F83"/>
    <w:rsid w:val="6FCF3EAF"/>
    <w:rsid w:val="6FD44408"/>
    <w:rsid w:val="6FD607DD"/>
    <w:rsid w:val="6FDB5DF3"/>
    <w:rsid w:val="6FE518A1"/>
    <w:rsid w:val="6FE729EA"/>
    <w:rsid w:val="6FE80510"/>
    <w:rsid w:val="6FF034B5"/>
    <w:rsid w:val="6FFB611F"/>
    <w:rsid w:val="70044804"/>
    <w:rsid w:val="700F3CEF"/>
    <w:rsid w:val="7014496E"/>
    <w:rsid w:val="702460A3"/>
    <w:rsid w:val="7025268A"/>
    <w:rsid w:val="70293003"/>
    <w:rsid w:val="702A6D7B"/>
    <w:rsid w:val="702C7A97"/>
    <w:rsid w:val="703025E3"/>
    <w:rsid w:val="703379DD"/>
    <w:rsid w:val="70343755"/>
    <w:rsid w:val="70384FF4"/>
    <w:rsid w:val="703C5D7A"/>
    <w:rsid w:val="703D260A"/>
    <w:rsid w:val="7040034C"/>
    <w:rsid w:val="70433998"/>
    <w:rsid w:val="70435343"/>
    <w:rsid w:val="704E4817"/>
    <w:rsid w:val="705E1067"/>
    <w:rsid w:val="706933FF"/>
    <w:rsid w:val="706935C4"/>
    <w:rsid w:val="70726075"/>
    <w:rsid w:val="707F70C6"/>
    <w:rsid w:val="7080699B"/>
    <w:rsid w:val="70840239"/>
    <w:rsid w:val="70853FB1"/>
    <w:rsid w:val="70862203"/>
    <w:rsid w:val="70877D29"/>
    <w:rsid w:val="70893AA1"/>
    <w:rsid w:val="708A7C81"/>
    <w:rsid w:val="70911EA7"/>
    <w:rsid w:val="70926DFA"/>
    <w:rsid w:val="70956197"/>
    <w:rsid w:val="70966F4F"/>
    <w:rsid w:val="709C5B30"/>
    <w:rsid w:val="70A22DB5"/>
    <w:rsid w:val="70A26911"/>
    <w:rsid w:val="70A37DB2"/>
    <w:rsid w:val="70A6339F"/>
    <w:rsid w:val="70AC6B3B"/>
    <w:rsid w:val="70AC7790"/>
    <w:rsid w:val="70B2124A"/>
    <w:rsid w:val="70BD022B"/>
    <w:rsid w:val="70C8281B"/>
    <w:rsid w:val="70C96594"/>
    <w:rsid w:val="70CF05D9"/>
    <w:rsid w:val="70D07922"/>
    <w:rsid w:val="70D859B1"/>
    <w:rsid w:val="70DA24BA"/>
    <w:rsid w:val="70DA60AB"/>
    <w:rsid w:val="70DC0CFB"/>
    <w:rsid w:val="70DC62C7"/>
    <w:rsid w:val="70E17439"/>
    <w:rsid w:val="70E701CA"/>
    <w:rsid w:val="70E93092"/>
    <w:rsid w:val="70ED2282"/>
    <w:rsid w:val="70F62BE1"/>
    <w:rsid w:val="71063344"/>
    <w:rsid w:val="71151F93"/>
    <w:rsid w:val="71193077"/>
    <w:rsid w:val="711E068D"/>
    <w:rsid w:val="711E68DF"/>
    <w:rsid w:val="712917A1"/>
    <w:rsid w:val="713734FD"/>
    <w:rsid w:val="713E6586"/>
    <w:rsid w:val="713F23B2"/>
    <w:rsid w:val="71462001"/>
    <w:rsid w:val="71520337"/>
    <w:rsid w:val="715220E5"/>
    <w:rsid w:val="715E5BD4"/>
    <w:rsid w:val="71692C70"/>
    <w:rsid w:val="716A001C"/>
    <w:rsid w:val="71734D6C"/>
    <w:rsid w:val="71796B73"/>
    <w:rsid w:val="71810C1C"/>
    <w:rsid w:val="71847896"/>
    <w:rsid w:val="718627B6"/>
    <w:rsid w:val="71946BA2"/>
    <w:rsid w:val="71962272"/>
    <w:rsid w:val="719646C8"/>
    <w:rsid w:val="71A30B93"/>
    <w:rsid w:val="71C70239"/>
    <w:rsid w:val="71CBA683"/>
    <w:rsid w:val="71CC7F1B"/>
    <w:rsid w:val="71CF667C"/>
    <w:rsid w:val="71DD22F7"/>
    <w:rsid w:val="71F118FE"/>
    <w:rsid w:val="71F274DF"/>
    <w:rsid w:val="71F418D3"/>
    <w:rsid w:val="71F72C8D"/>
    <w:rsid w:val="71FD64F5"/>
    <w:rsid w:val="7204265D"/>
    <w:rsid w:val="721750DD"/>
    <w:rsid w:val="721F0B84"/>
    <w:rsid w:val="72225F5B"/>
    <w:rsid w:val="72384674"/>
    <w:rsid w:val="72444124"/>
    <w:rsid w:val="724C4D86"/>
    <w:rsid w:val="72542DF2"/>
    <w:rsid w:val="72556331"/>
    <w:rsid w:val="725F0F5E"/>
    <w:rsid w:val="726248C7"/>
    <w:rsid w:val="726760BC"/>
    <w:rsid w:val="726C71D7"/>
    <w:rsid w:val="72703725"/>
    <w:rsid w:val="72715C07"/>
    <w:rsid w:val="727662A7"/>
    <w:rsid w:val="7278201F"/>
    <w:rsid w:val="727918F3"/>
    <w:rsid w:val="728564EA"/>
    <w:rsid w:val="728E35F1"/>
    <w:rsid w:val="7298621E"/>
    <w:rsid w:val="729E49DB"/>
    <w:rsid w:val="72A03324"/>
    <w:rsid w:val="72A20E4A"/>
    <w:rsid w:val="72A5093A"/>
    <w:rsid w:val="72A90564"/>
    <w:rsid w:val="72B017B9"/>
    <w:rsid w:val="72B42D6B"/>
    <w:rsid w:val="72B926C4"/>
    <w:rsid w:val="72BB3CBA"/>
    <w:rsid w:val="72C36EB5"/>
    <w:rsid w:val="72C65472"/>
    <w:rsid w:val="72C6624A"/>
    <w:rsid w:val="72C928DE"/>
    <w:rsid w:val="72C97E60"/>
    <w:rsid w:val="72CE1C3F"/>
    <w:rsid w:val="72D43F1C"/>
    <w:rsid w:val="72D57472"/>
    <w:rsid w:val="72D8486C"/>
    <w:rsid w:val="72DD4E02"/>
    <w:rsid w:val="72DF3E4C"/>
    <w:rsid w:val="72E15E16"/>
    <w:rsid w:val="72E90827"/>
    <w:rsid w:val="72EE59DB"/>
    <w:rsid w:val="72F35B4A"/>
    <w:rsid w:val="72F71196"/>
    <w:rsid w:val="72FD2C3F"/>
    <w:rsid w:val="73065FC6"/>
    <w:rsid w:val="730A239C"/>
    <w:rsid w:val="730B5700"/>
    <w:rsid w:val="731A1328"/>
    <w:rsid w:val="731E366D"/>
    <w:rsid w:val="73214465"/>
    <w:rsid w:val="73397E4F"/>
    <w:rsid w:val="733C304D"/>
    <w:rsid w:val="733C4DFB"/>
    <w:rsid w:val="733F48EB"/>
    <w:rsid w:val="73412411"/>
    <w:rsid w:val="73426189"/>
    <w:rsid w:val="735142CD"/>
    <w:rsid w:val="7351733F"/>
    <w:rsid w:val="735203F8"/>
    <w:rsid w:val="735859AD"/>
    <w:rsid w:val="73602932"/>
    <w:rsid w:val="73626DD8"/>
    <w:rsid w:val="73702CF6"/>
    <w:rsid w:val="7372081D"/>
    <w:rsid w:val="73797DFD"/>
    <w:rsid w:val="73801E89"/>
    <w:rsid w:val="73813156"/>
    <w:rsid w:val="7386076C"/>
    <w:rsid w:val="7386251A"/>
    <w:rsid w:val="73877B8C"/>
    <w:rsid w:val="73922C6D"/>
    <w:rsid w:val="73935046"/>
    <w:rsid w:val="73945018"/>
    <w:rsid w:val="73974727"/>
    <w:rsid w:val="739A07A7"/>
    <w:rsid w:val="739D6139"/>
    <w:rsid w:val="73A41347"/>
    <w:rsid w:val="73A62BBC"/>
    <w:rsid w:val="73AA7753"/>
    <w:rsid w:val="73AE37EF"/>
    <w:rsid w:val="73B452D9"/>
    <w:rsid w:val="73B63B15"/>
    <w:rsid w:val="73B76B77"/>
    <w:rsid w:val="73BB6668"/>
    <w:rsid w:val="73C67815"/>
    <w:rsid w:val="73CB617F"/>
    <w:rsid w:val="73CE3DC7"/>
    <w:rsid w:val="73CE4040"/>
    <w:rsid w:val="73CE64F3"/>
    <w:rsid w:val="73D02B91"/>
    <w:rsid w:val="73D80A04"/>
    <w:rsid w:val="73D94D40"/>
    <w:rsid w:val="73DB2C21"/>
    <w:rsid w:val="73DC09EB"/>
    <w:rsid w:val="73EA67FE"/>
    <w:rsid w:val="73EF4563"/>
    <w:rsid w:val="73FD0A4F"/>
    <w:rsid w:val="7420296E"/>
    <w:rsid w:val="742E12AB"/>
    <w:rsid w:val="74302297"/>
    <w:rsid w:val="74312486"/>
    <w:rsid w:val="743261FE"/>
    <w:rsid w:val="743B3304"/>
    <w:rsid w:val="743C2A58"/>
    <w:rsid w:val="743E2DF5"/>
    <w:rsid w:val="7447614D"/>
    <w:rsid w:val="74485B23"/>
    <w:rsid w:val="744A3547"/>
    <w:rsid w:val="744A361A"/>
    <w:rsid w:val="744A79EB"/>
    <w:rsid w:val="74501E86"/>
    <w:rsid w:val="745443C6"/>
    <w:rsid w:val="745D771F"/>
    <w:rsid w:val="745E125D"/>
    <w:rsid w:val="747607E0"/>
    <w:rsid w:val="7476258E"/>
    <w:rsid w:val="747950AB"/>
    <w:rsid w:val="747C35A9"/>
    <w:rsid w:val="747E6A82"/>
    <w:rsid w:val="74886D88"/>
    <w:rsid w:val="748A428C"/>
    <w:rsid w:val="74995C7D"/>
    <w:rsid w:val="74AD0CF9"/>
    <w:rsid w:val="74AE7F7A"/>
    <w:rsid w:val="74B135C7"/>
    <w:rsid w:val="74B64688"/>
    <w:rsid w:val="74B66E2F"/>
    <w:rsid w:val="74B87FBF"/>
    <w:rsid w:val="74C55B4B"/>
    <w:rsid w:val="74C652C4"/>
    <w:rsid w:val="74CB788B"/>
    <w:rsid w:val="74CE5F27"/>
    <w:rsid w:val="74D379E1"/>
    <w:rsid w:val="74D472B5"/>
    <w:rsid w:val="74DE5429"/>
    <w:rsid w:val="74E13391"/>
    <w:rsid w:val="74F10716"/>
    <w:rsid w:val="74F6722B"/>
    <w:rsid w:val="74FB2A94"/>
    <w:rsid w:val="7501454E"/>
    <w:rsid w:val="7513602F"/>
    <w:rsid w:val="75175B20"/>
    <w:rsid w:val="7521074C"/>
    <w:rsid w:val="75321A53"/>
    <w:rsid w:val="753352D6"/>
    <w:rsid w:val="7537601B"/>
    <w:rsid w:val="753B196C"/>
    <w:rsid w:val="75457920"/>
    <w:rsid w:val="75480C00"/>
    <w:rsid w:val="754C70E3"/>
    <w:rsid w:val="754D6952"/>
    <w:rsid w:val="754E52B9"/>
    <w:rsid w:val="7557416E"/>
    <w:rsid w:val="75616D9B"/>
    <w:rsid w:val="7564026B"/>
    <w:rsid w:val="75681F2D"/>
    <w:rsid w:val="756D3991"/>
    <w:rsid w:val="75741AFD"/>
    <w:rsid w:val="75774810"/>
    <w:rsid w:val="7590793B"/>
    <w:rsid w:val="759A017D"/>
    <w:rsid w:val="75A53FA5"/>
    <w:rsid w:val="75A924F0"/>
    <w:rsid w:val="75AE5FBB"/>
    <w:rsid w:val="75B82FB1"/>
    <w:rsid w:val="75BE243F"/>
    <w:rsid w:val="75C17839"/>
    <w:rsid w:val="75C335B1"/>
    <w:rsid w:val="75CB690A"/>
    <w:rsid w:val="75D21A46"/>
    <w:rsid w:val="75D40E93"/>
    <w:rsid w:val="75D752AF"/>
    <w:rsid w:val="75E11C8A"/>
    <w:rsid w:val="75E97BB2"/>
    <w:rsid w:val="75EB600B"/>
    <w:rsid w:val="75EC1ACE"/>
    <w:rsid w:val="75EF43A6"/>
    <w:rsid w:val="75F06371"/>
    <w:rsid w:val="75F96FD3"/>
    <w:rsid w:val="75FA1BEC"/>
    <w:rsid w:val="76062364"/>
    <w:rsid w:val="760B6D06"/>
    <w:rsid w:val="7613449D"/>
    <w:rsid w:val="761761B3"/>
    <w:rsid w:val="761C7166"/>
    <w:rsid w:val="761E4C8C"/>
    <w:rsid w:val="763149BF"/>
    <w:rsid w:val="76342701"/>
    <w:rsid w:val="76374252"/>
    <w:rsid w:val="76426BCC"/>
    <w:rsid w:val="76465F91"/>
    <w:rsid w:val="764928A0"/>
    <w:rsid w:val="764A35D8"/>
    <w:rsid w:val="764D731F"/>
    <w:rsid w:val="764E3AB6"/>
    <w:rsid w:val="765468FF"/>
    <w:rsid w:val="765B5EE0"/>
    <w:rsid w:val="765C3B0F"/>
    <w:rsid w:val="765E777E"/>
    <w:rsid w:val="76654669"/>
    <w:rsid w:val="76674D66"/>
    <w:rsid w:val="766A6123"/>
    <w:rsid w:val="766D79C1"/>
    <w:rsid w:val="76741165"/>
    <w:rsid w:val="768014A2"/>
    <w:rsid w:val="768537EE"/>
    <w:rsid w:val="76896296"/>
    <w:rsid w:val="76946CFC"/>
    <w:rsid w:val="769F4C0B"/>
    <w:rsid w:val="76A076F1"/>
    <w:rsid w:val="76A21419"/>
    <w:rsid w:val="76A258BD"/>
    <w:rsid w:val="76A35191"/>
    <w:rsid w:val="76A455D1"/>
    <w:rsid w:val="76A72ED3"/>
    <w:rsid w:val="76AF7FDA"/>
    <w:rsid w:val="76B06CC5"/>
    <w:rsid w:val="76BA6FD4"/>
    <w:rsid w:val="76BB072D"/>
    <w:rsid w:val="76C00A25"/>
    <w:rsid w:val="76C07AF1"/>
    <w:rsid w:val="76C25221"/>
    <w:rsid w:val="76C70E7F"/>
    <w:rsid w:val="76CA6BC2"/>
    <w:rsid w:val="76CC0B8C"/>
    <w:rsid w:val="76E2215D"/>
    <w:rsid w:val="76E934EC"/>
    <w:rsid w:val="76E9529A"/>
    <w:rsid w:val="76E97048"/>
    <w:rsid w:val="76EC2FDC"/>
    <w:rsid w:val="76F0487A"/>
    <w:rsid w:val="76F3566F"/>
    <w:rsid w:val="76F529B8"/>
    <w:rsid w:val="76F679B7"/>
    <w:rsid w:val="77004391"/>
    <w:rsid w:val="77075720"/>
    <w:rsid w:val="770E2027"/>
    <w:rsid w:val="771147F0"/>
    <w:rsid w:val="7711659E"/>
    <w:rsid w:val="771D3195"/>
    <w:rsid w:val="771F0CBB"/>
    <w:rsid w:val="7721446A"/>
    <w:rsid w:val="77277B70"/>
    <w:rsid w:val="772938E8"/>
    <w:rsid w:val="772B2DD2"/>
    <w:rsid w:val="77320DDE"/>
    <w:rsid w:val="773D7394"/>
    <w:rsid w:val="775070C7"/>
    <w:rsid w:val="775A5F60"/>
    <w:rsid w:val="775C1564"/>
    <w:rsid w:val="775D17E4"/>
    <w:rsid w:val="77651D73"/>
    <w:rsid w:val="77722523"/>
    <w:rsid w:val="77727D83"/>
    <w:rsid w:val="77754D7F"/>
    <w:rsid w:val="777A2396"/>
    <w:rsid w:val="777D1E86"/>
    <w:rsid w:val="778154D2"/>
    <w:rsid w:val="77861337"/>
    <w:rsid w:val="7787473E"/>
    <w:rsid w:val="77894387"/>
    <w:rsid w:val="77934DE6"/>
    <w:rsid w:val="779A2A38"/>
    <w:rsid w:val="77A23219"/>
    <w:rsid w:val="77AA2EC6"/>
    <w:rsid w:val="77AD62C7"/>
    <w:rsid w:val="77B07EAB"/>
    <w:rsid w:val="77B70EF4"/>
    <w:rsid w:val="77BB624E"/>
    <w:rsid w:val="77C535E7"/>
    <w:rsid w:val="77C74EAF"/>
    <w:rsid w:val="77C85B3D"/>
    <w:rsid w:val="77CC4478"/>
    <w:rsid w:val="77CE4490"/>
    <w:rsid w:val="77D54FD3"/>
    <w:rsid w:val="77DC19B1"/>
    <w:rsid w:val="77E967C9"/>
    <w:rsid w:val="77EB52B0"/>
    <w:rsid w:val="77EC3B71"/>
    <w:rsid w:val="780027DA"/>
    <w:rsid w:val="7800741E"/>
    <w:rsid w:val="7803238B"/>
    <w:rsid w:val="780340CB"/>
    <w:rsid w:val="781B5927"/>
    <w:rsid w:val="78340796"/>
    <w:rsid w:val="783469E8"/>
    <w:rsid w:val="78372035"/>
    <w:rsid w:val="783764D9"/>
    <w:rsid w:val="78387B4C"/>
    <w:rsid w:val="784309DA"/>
    <w:rsid w:val="784F737E"/>
    <w:rsid w:val="78505AD2"/>
    <w:rsid w:val="785250C1"/>
    <w:rsid w:val="78540E39"/>
    <w:rsid w:val="785C1A9B"/>
    <w:rsid w:val="78670B6C"/>
    <w:rsid w:val="78686692"/>
    <w:rsid w:val="788F00C3"/>
    <w:rsid w:val="78A045C6"/>
    <w:rsid w:val="78AC47D1"/>
    <w:rsid w:val="78B96EEE"/>
    <w:rsid w:val="78BB2C66"/>
    <w:rsid w:val="78BE2756"/>
    <w:rsid w:val="78C31B1A"/>
    <w:rsid w:val="78C55892"/>
    <w:rsid w:val="78C7537B"/>
    <w:rsid w:val="78C83F7E"/>
    <w:rsid w:val="78CA2EA9"/>
    <w:rsid w:val="78CB70BB"/>
    <w:rsid w:val="78CF5AC2"/>
    <w:rsid w:val="78D2231F"/>
    <w:rsid w:val="78D930EC"/>
    <w:rsid w:val="78DC4459"/>
    <w:rsid w:val="78DC699B"/>
    <w:rsid w:val="78DF1AD6"/>
    <w:rsid w:val="78E1137D"/>
    <w:rsid w:val="78EC0FC8"/>
    <w:rsid w:val="78F10E72"/>
    <w:rsid w:val="78F26909"/>
    <w:rsid w:val="78F9378E"/>
    <w:rsid w:val="78F9553C"/>
    <w:rsid w:val="78FB3062"/>
    <w:rsid w:val="79011794"/>
    <w:rsid w:val="79076210"/>
    <w:rsid w:val="790E0FE8"/>
    <w:rsid w:val="790E4617"/>
    <w:rsid w:val="790E548B"/>
    <w:rsid w:val="790F76A7"/>
    <w:rsid w:val="791F1447"/>
    <w:rsid w:val="792D377C"/>
    <w:rsid w:val="792D6961"/>
    <w:rsid w:val="79345E44"/>
    <w:rsid w:val="7941257D"/>
    <w:rsid w:val="794C1B10"/>
    <w:rsid w:val="794E266F"/>
    <w:rsid w:val="79554E68"/>
    <w:rsid w:val="79652BD2"/>
    <w:rsid w:val="796706F8"/>
    <w:rsid w:val="7967201E"/>
    <w:rsid w:val="796A268B"/>
    <w:rsid w:val="796D43BA"/>
    <w:rsid w:val="797030CC"/>
    <w:rsid w:val="79786DA9"/>
    <w:rsid w:val="798017B9"/>
    <w:rsid w:val="798247E0"/>
    <w:rsid w:val="798619ED"/>
    <w:rsid w:val="798B33D6"/>
    <w:rsid w:val="798B5E75"/>
    <w:rsid w:val="7997550A"/>
    <w:rsid w:val="799F4335"/>
    <w:rsid w:val="79A100AE"/>
    <w:rsid w:val="79A75FA3"/>
    <w:rsid w:val="79A9134B"/>
    <w:rsid w:val="79B0209F"/>
    <w:rsid w:val="79B62A46"/>
    <w:rsid w:val="79B7342D"/>
    <w:rsid w:val="79BB735D"/>
    <w:rsid w:val="79BD2A0E"/>
    <w:rsid w:val="79C1605A"/>
    <w:rsid w:val="79C350D5"/>
    <w:rsid w:val="79C67B14"/>
    <w:rsid w:val="79D264B9"/>
    <w:rsid w:val="79D73ACF"/>
    <w:rsid w:val="79D917F7"/>
    <w:rsid w:val="79DC7338"/>
    <w:rsid w:val="79EB757B"/>
    <w:rsid w:val="79EE0117"/>
    <w:rsid w:val="79F06E8E"/>
    <w:rsid w:val="79F5AE6C"/>
    <w:rsid w:val="79FA77BE"/>
    <w:rsid w:val="7A102B3D"/>
    <w:rsid w:val="7A14219C"/>
    <w:rsid w:val="7A1563A6"/>
    <w:rsid w:val="7A1C5986"/>
    <w:rsid w:val="7A1F1F5A"/>
    <w:rsid w:val="7A2D1941"/>
    <w:rsid w:val="7A30710E"/>
    <w:rsid w:val="7A325859"/>
    <w:rsid w:val="7A3507F6"/>
    <w:rsid w:val="7A354DB4"/>
    <w:rsid w:val="7A355D26"/>
    <w:rsid w:val="7A385094"/>
    <w:rsid w:val="7A3A393C"/>
    <w:rsid w:val="7A403193"/>
    <w:rsid w:val="7A4259A3"/>
    <w:rsid w:val="7A454623"/>
    <w:rsid w:val="7A4A10A2"/>
    <w:rsid w:val="7A4F3378"/>
    <w:rsid w:val="7A5549F4"/>
    <w:rsid w:val="7A5E7D4D"/>
    <w:rsid w:val="7A633C54"/>
    <w:rsid w:val="7A6C06BC"/>
    <w:rsid w:val="7A6D61E2"/>
    <w:rsid w:val="7A747570"/>
    <w:rsid w:val="7A750E83"/>
    <w:rsid w:val="7A7C01D3"/>
    <w:rsid w:val="7A7F18A6"/>
    <w:rsid w:val="7A893B99"/>
    <w:rsid w:val="7A8968C1"/>
    <w:rsid w:val="7A8A28F0"/>
    <w:rsid w:val="7A903C7E"/>
    <w:rsid w:val="7A94376E"/>
    <w:rsid w:val="7A976311"/>
    <w:rsid w:val="7A9C2623"/>
    <w:rsid w:val="7A9F3D81"/>
    <w:rsid w:val="7A9F5492"/>
    <w:rsid w:val="7AA11299"/>
    <w:rsid w:val="7AA339B1"/>
    <w:rsid w:val="7AA7318B"/>
    <w:rsid w:val="7ABC786B"/>
    <w:rsid w:val="7ACA37FE"/>
    <w:rsid w:val="7AD63D87"/>
    <w:rsid w:val="7AE04F1E"/>
    <w:rsid w:val="7AE55D78"/>
    <w:rsid w:val="7AF40ED0"/>
    <w:rsid w:val="7AFE5C00"/>
    <w:rsid w:val="7B060A1C"/>
    <w:rsid w:val="7B06298B"/>
    <w:rsid w:val="7B072192"/>
    <w:rsid w:val="7B0A57DF"/>
    <w:rsid w:val="7B0C506C"/>
    <w:rsid w:val="7B1228E5"/>
    <w:rsid w:val="7B160627"/>
    <w:rsid w:val="7B164183"/>
    <w:rsid w:val="7B2745E3"/>
    <w:rsid w:val="7B3C13A9"/>
    <w:rsid w:val="7B3C4A6B"/>
    <w:rsid w:val="7B3D5BB4"/>
    <w:rsid w:val="7B3F404B"/>
    <w:rsid w:val="7B446F42"/>
    <w:rsid w:val="7B5315B8"/>
    <w:rsid w:val="7B611FD9"/>
    <w:rsid w:val="7B680500"/>
    <w:rsid w:val="7B7315D6"/>
    <w:rsid w:val="7B7610C6"/>
    <w:rsid w:val="7B76471B"/>
    <w:rsid w:val="7B7A2964"/>
    <w:rsid w:val="7B7D4202"/>
    <w:rsid w:val="7B807B93"/>
    <w:rsid w:val="7B835E63"/>
    <w:rsid w:val="7B841A35"/>
    <w:rsid w:val="7B853EC3"/>
    <w:rsid w:val="7B931C78"/>
    <w:rsid w:val="7B9B0B2D"/>
    <w:rsid w:val="7BAB521A"/>
    <w:rsid w:val="7BAC5B0E"/>
    <w:rsid w:val="7BB173BC"/>
    <w:rsid w:val="7BB51BEE"/>
    <w:rsid w:val="7BB5399C"/>
    <w:rsid w:val="7BBC11CF"/>
    <w:rsid w:val="7BBF3F84"/>
    <w:rsid w:val="7BC56F81"/>
    <w:rsid w:val="7BC736D0"/>
    <w:rsid w:val="7BC77B74"/>
    <w:rsid w:val="7BC9569A"/>
    <w:rsid w:val="7BCD09AD"/>
    <w:rsid w:val="7BD61B65"/>
    <w:rsid w:val="7BD86D3E"/>
    <w:rsid w:val="7BDA1655"/>
    <w:rsid w:val="7BDB18FD"/>
    <w:rsid w:val="7BDF0A19"/>
    <w:rsid w:val="7BE14791"/>
    <w:rsid w:val="7BE349AD"/>
    <w:rsid w:val="7BEA4414"/>
    <w:rsid w:val="7BEB5610"/>
    <w:rsid w:val="7BEC3554"/>
    <w:rsid w:val="7BF5669F"/>
    <w:rsid w:val="7BF70459"/>
    <w:rsid w:val="7BF92B4E"/>
    <w:rsid w:val="7BFC1C65"/>
    <w:rsid w:val="7C030BAC"/>
    <w:rsid w:val="7C0466D2"/>
    <w:rsid w:val="7C077F70"/>
    <w:rsid w:val="7C0B5CB2"/>
    <w:rsid w:val="7C176405"/>
    <w:rsid w:val="7C280612"/>
    <w:rsid w:val="7C2E19A1"/>
    <w:rsid w:val="7C38637B"/>
    <w:rsid w:val="7C391D2C"/>
    <w:rsid w:val="7C3945CD"/>
    <w:rsid w:val="7C3A20F4"/>
    <w:rsid w:val="7C3B41F3"/>
    <w:rsid w:val="7C3C2310"/>
    <w:rsid w:val="7C3D2105"/>
    <w:rsid w:val="7C412EEA"/>
    <w:rsid w:val="7C43522B"/>
    <w:rsid w:val="7C594C70"/>
    <w:rsid w:val="7C5C650E"/>
    <w:rsid w:val="7C5F7DAC"/>
    <w:rsid w:val="7C66738C"/>
    <w:rsid w:val="7C705B15"/>
    <w:rsid w:val="7C7C7301"/>
    <w:rsid w:val="7C7D7A7E"/>
    <w:rsid w:val="7C7E46D6"/>
    <w:rsid w:val="7C8A4E29"/>
    <w:rsid w:val="7C907F65"/>
    <w:rsid w:val="7CA425B5"/>
    <w:rsid w:val="7CA53A11"/>
    <w:rsid w:val="7CA81753"/>
    <w:rsid w:val="7CB9570E"/>
    <w:rsid w:val="7CCA3477"/>
    <w:rsid w:val="7CCF6CE0"/>
    <w:rsid w:val="7CDA1DE4"/>
    <w:rsid w:val="7CE54755"/>
    <w:rsid w:val="7CEB38F0"/>
    <w:rsid w:val="7CF229CE"/>
    <w:rsid w:val="7CFB5146"/>
    <w:rsid w:val="7CFD384D"/>
    <w:rsid w:val="7D0970B0"/>
    <w:rsid w:val="7D0A7D18"/>
    <w:rsid w:val="7D0D15B6"/>
    <w:rsid w:val="7D0D50C7"/>
    <w:rsid w:val="7D126BCC"/>
    <w:rsid w:val="7D1312C2"/>
    <w:rsid w:val="7D1A4960"/>
    <w:rsid w:val="7D2232B3"/>
    <w:rsid w:val="7D292894"/>
    <w:rsid w:val="7D2D3B54"/>
    <w:rsid w:val="7D2F777E"/>
    <w:rsid w:val="7D382AD7"/>
    <w:rsid w:val="7D40500C"/>
    <w:rsid w:val="7D4274B2"/>
    <w:rsid w:val="7D474AC8"/>
    <w:rsid w:val="7D4E40A8"/>
    <w:rsid w:val="7D592A4D"/>
    <w:rsid w:val="7D5F203D"/>
    <w:rsid w:val="7D603DDC"/>
    <w:rsid w:val="7D692C90"/>
    <w:rsid w:val="7D6C09D3"/>
    <w:rsid w:val="7D6F1500"/>
    <w:rsid w:val="7D6F401F"/>
    <w:rsid w:val="7D711B45"/>
    <w:rsid w:val="7D816FB8"/>
    <w:rsid w:val="7D8A2C07"/>
    <w:rsid w:val="7D8F433F"/>
    <w:rsid w:val="7D8F646F"/>
    <w:rsid w:val="7D925D0F"/>
    <w:rsid w:val="7D935F5F"/>
    <w:rsid w:val="7D943A85"/>
    <w:rsid w:val="7D951CD7"/>
    <w:rsid w:val="7DA81E2A"/>
    <w:rsid w:val="7DB163E5"/>
    <w:rsid w:val="7DBD5D79"/>
    <w:rsid w:val="7DC51E91"/>
    <w:rsid w:val="7DCE51E9"/>
    <w:rsid w:val="7DD265A3"/>
    <w:rsid w:val="7DD94B30"/>
    <w:rsid w:val="7DDD71DA"/>
    <w:rsid w:val="7DF12C86"/>
    <w:rsid w:val="7DF32EA2"/>
    <w:rsid w:val="7DFD787D"/>
    <w:rsid w:val="7E047B0F"/>
    <w:rsid w:val="7E05024D"/>
    <w:rsid w:val="7E075D2D"/>
    <w:rsid w:val="7E137D97"/>
    <w:rsid w:val="7E1562E9"/>
    <w:rsid w:val="7E1C7D03"/>
    <w:rsid w:val="7E260B81"/>
    <w:rsid w:val="7E2B5128"/>
    <w:rsid w:val="7E33504C"/>
    <w:rsid w:val="7E3819C4"/>
    <w:rsid w:val="7E394D59"/>
    <w:rsid w:val="7E494870"/>
    <w:rsid w:val="7E551467"/>
    <w:rsid w:val="7E5C27F5"/>
    <w:rsid w:val="7E5D031B"/>
    <w:rsid w:val="7E5D03E0"/>
    <w:rsid w:val="7E5F00AD"/>
    <w:rsid w:val="7E6028D7"/>
    <w:rsid w:val="7E685FC8"/>
    <w:rsid w:val="7E725B75"/>
    <w:rsid w:val="7E7B652D"/>
    <w:rsid w:val="7E7E6C0F"/>
    <w:rsid w:val="7E7F7DB6"/>
    <w:rsid w:val="7E80658A"/>
    <w:rsid w:val="7E812519"/>
    <w:rsid w:val="7E891110"/>
    <w:rsid w:val="7E8A7362"/>
    <w:rsid w:val="7E8C44EB"/>
    <w:rsid w:val="7E9A3CF9"/>
    <w:rsid w:val="7E9C13E9"/>
    <w:rsid w:val="7EA30424"/>
    <w:rsid w:val="7EA6494B"/>
    <w:rsid w:val="7EB37AD4"/>
    <w:rsid w:val="7EB75C7D"/>
    <w:rsid w:val="7EBE525E"/>
    <w:rsid w:val="7EC42148"/>
    <w:rsid w:val="7EC65EC0"/>
    <w:rsid w:val="7ED00AED"/>
    <w:rsid w:val="7ED757AC"/>
    <w:rsid w:val="7EDA196C"/>
    <w:rsid w:val="7EE051D4"/>
    <w:rsid w:val="7EE06F82"/>
    <w:rsid w:val="7EE139E8"/>
    <w:rsid w:val="7EE2719E"/>
    <w:rsid w:val="7EE810E1"/>
    <w:rsid w:val="7EEF18BB"/>
    <w:rsid w:val="7EF039D4"/>
    <w:rsid w:val="7F062761"/>
    <w:rsid w:val="7F0C5FC9"/>
    <w:rsid w:val="7F182CA9"/>
    <w:rsid w:val="7F1D4888"/>
    <w:rsid w:val="7F3B4801"/>
    <w:rsid w:val="7F427C3D"/>
    <w:rsid w:val="7F4734A5"/>
    <w:rsid w:val="7F4C4618"/>
    <w:rsid w:val="7F4F5EB6"/>
    <w:rsid w:val="7F507EC9"/>
    <w:rsid w:val="7F625BE9"/>
    <w:rsid w:val="7F671451"/>
    <w:rsid w:val="7F6A7194"/>
    <w:rsid w:val="7F741DC0"/>
    <w:rsid w:val="7F78365F"/>
    <w:rsid w:val="7F7F333C"/>
    <w:rsid w:val="7F833DB1"/>
    <w:rsid w:val="7F8A15E4"/>
    <w:rsid w:val="7F8EE451"/>
    <w:rsid w:val="7F912972"/>
    <w:rsid w:val="7F947D6D"/>
    <w:rsid w:val="7F963315"/>
    <w:rsid w:val="7F9E0BEB"/>
    <w:rsid w:val="7F9F0B14"/>
    <w:rsid w:val="7FA6B478"/>
    <w:rsid w:val="7FB328E9"/>
    <w:rsid w:val="7FB56661"/>
    <w:rsid w:val="7FB9DC52"/>
    <w:rsid w:val="7FBF303C"/>
    <w:rsid w:val="7FC71532"/>
    <w:rsid w:val="7FC76394"/>
    <w:rsid w:val="7FCC39AA"/>
    <w:rsid w:val="7FE40F1B"/>
    <w:rsid w:val="7FE44850"/>
    <w:rsid w:val="7FE823C1"/>
    <w:rsid w:val="7FEC7BA9"/>
    <w:rsid w:val="7FFA22C6"/>
    <w:rsid w:val="7FFD0387"/>
    <w:rsid w:val="7FFDDE08"/>
    <w:rsid w:val="7FFE77FB"/>
    <w:rsid w:val="7FFF379A"/>
    <w:rsid w:val="7FFFDBBD"/>
    <w:rsid w:val="9BD8003A"/>
    <w:rsid w:val="AF4F0C33"/>
    <w:rsid w:val="B7B7AF79"/>
    <w:rsid w:val="DEEF3FA2"/>
    <w:rsid w:val="E9EB1781"/>
    <w:rsid w:val="EFF9EF9A"/>
    <w:rsid w:val="F7DC8582"/>
    <w:rsid w:val="FB7B0C56"/>
    <w:rsid w:val="FBA71A5B"/>
    <w:rsid w:val="FBFF3D36"/>
    <w:rsid w:val="FD1DD1AE"/>
    <w:rsid w:val="FF38651C"/>
    <w:rsid w:val="FFBCA0EE"/>
    <w:rsid w:val="FFEA4C16"/>
    <w:rsid w:val="FFFF0969"/>
    <w:rsid w:val="FFFFF5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qFormat/>
    <w:uiPriority w:val="0"/>
    <w:pPr>
      <w:keepNext/>
      <w:keepLines/>
      <w:spacing w:before="280" w:after="290" w:line="376" w:lineRule="auto"/>
      <w:jc w:val="left"/>
      <w:outlineLvl w:val="3"/>
    </w:pPr>
    <w:rPr>
      <w:rFonts w:ascii="Cambria" w:hAnsi="Cambria" w:cs="Cambria"/>
      <w:b/>
      <w:bCs/>
      <w:kern w:val="0"/>
      <w:sz w:val="28"/>
      <w:szCs w:val="28"/>
      <w:lang w:val="zh-CN" w:eastAsia="en-US"/>
    </w:rPr>
  </w:style>
  <w:style w:type="paragraph" w:styleId="2">
    <w:name w:val="heading 5"/>
    <w:basedOn w:val="1"/>
    <w:next w:val="1"/>
    <w:qFormat/>
    <w:uiPriority w:val="9"/>
    <w:pPr>
      <w:keepNext/>
      <w:keepLines/>
      <w:tabs>
        <w:tab w:val="left" w:pos="780"/>
      </w:tabs>
      <w:spacing w:before="280" w:after="290" w:line="377" w:lineRule="auto"/>
      <w:ind w:firstLine="200" w:firstLineChars="200"/>
      <w:outlineLvl w:val="4"/>
    </w:pPr>
    <w:rPr>
      <w:rFonts w:eastAsia="仿宋_GB2312"/>
      <w:bCs/>
      <w:szCs w:val="28"/>
    </w:rPr>
  </w:style>
  <w:style w:type="character" w:default="1" w:styleId="20">
    <w:name w:val="Default Paragraph Font"/>
    <w:semiHidden/>
    <w:qFormat/>
    <w:uiPriority w:val="0"/>
  </w:style>
  <w:style w:type="table" w:default="1" w:styleId="1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7">
    <w:name w:val="annotation text"/>
    <w:basedOn w:val="1"/>
    <w:unhideWhenUsed/>
    <w:qFormat/>
    <w:uiPriority w:val="99"/>
    <w:pPr>
      <w:jc w:val="left"/>
    </w:pPr>
  </w:style>
  <w:style w:type="paragraph" w:styleId="8">
    <w:name w:val="Body Text"/>
    <w:basedOn w:val="1"/>
    <w:next w:val="1"/>
    <w:qFormat/>
    <w:uiPriority w:val="0"/>
    <w:pPr>
      <w:tabs>
        <w:tab w:val="left" w:pos="567"/>
      </w:tabs>
      <w:spacing w:before="120" w:line="22" w:lineRule="atLeast"/>
    </w:pPr>
    <w:rPr>
      <w:rFonts w:ascii="宋体" w:hAnsi="宋体"/>
      <w:sz w:val="24"/>
    </w:rPr>
  </w:style>
  <w:style w:type="paragraph" w:styleId="9">
    <w:name w:val="Body Text Indent"/>
    <w:basedOn w:val="1"/>
    <w:unhideWhenUsed/>
    <w:qFormat/>
    <w:uiPriority w:val="0"/>
    <w:pPr>
      <w:spacing w:after="120"/>
      <w:ind w:left="420" w:leftChars="200"/>
    </w:pPr>
  </w:style>
  <w:style w:type="paragraph" w:styleId="10">
    <w:name w:val="index 4"/>
    <w:basedOn w:val="1"/>
    <w:next w:val="1"/>
    <w:qFormat/>
    <w:uiPriority w:val="99"/>
    <w:pPr>
      <w:ind w:left="600" w:leftChars="600"/>
    </w:pPr>
    <w:rPr>
      <w:szCs w:val="24"/>
    </w:rPr>
  </w:style>
  <w:style w:type="paragraph" w:styleId="11">
    <w:name w:val="Plain Text"/>
    <w:basedOn w:val="1"/>
    <w:next w:val="5"/>
    <w:qFormat/>
    <w:uiPriority w:val="0"/>
    <w:rPr>
      <w:rFonts w:hint="eastAsia" w:ascii="宋体" w:hAnsi="Courier New"/>
      <w:szCs w:val="20"/>
    </w:rPr>
  </w:style>
  <w:style w:type="paragraph" w:styleId="12">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tabs>
        <w:tab w:val="left" w:pos="1050"/>
        <w:tab w:val="right" w:leader="dot" w:pos="8937"/>
      </w:tabs>
      <w:spacing w:line="300" w:lineRule="auto"/>
    </w:pPr>
    <w:rPr>
      <w:rFonts w:ascii="宋体" w:hAnsi="宋体"/>
      <w:b/>
      <w:sz w:val="24"/>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w:basedOn w:val="8"/>
    <w:qFormat/>
    <w:uiPriority w:val="0"/>
    <w:pPr>
      <w:spacing w:after="120"/>
      <w:ind w:firstLine="420" w:firstLineChars="100"/>
    </w:pPr>
    <w:rPr>
      <w:sz w:val="21"/>
      <w:szCs w:val="24"/>
    </w:rPr>
  </w:style>
  <w:style w:type="paragraph" w:styleId="17">
    <w:name w:val="Body Text First Indent 2"/>
    <w:basedOn w:val="9"/>
    <w:qFormat/>
    <w:uiPriority w:val="0"/>
    <w:pPr>
      <w:ind w:firstLine="420"/>
    </w:p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22"/>
    <w:rPr>
      <w:b/>
      <w:bCs/>
    </w:rPr>
  </w:style>
  <w:style w:type="character" w:styleId="22">
    <w:name w:val="page number"/>
    <w:basedOn w:val="20"/>
    <w:qFormat/>
    <w:uiPriority w:val="0"/>
  </w:style>
  <w:style w:type="character" w:styleId="23">
    <w:name w:val="Hyperlink"/>
    <w:qFormat/>
    <w:uiPriority w:val="99"/>
    <w:rPr>
      <w:color w:val="0000FF"/>
      <w:u w:val="single"/>
    </w:rPr>
  </w:style>
  <w:style w:type="character" w:styleId="24">
    <w:name w:val="annotation reference"/>
    <w:basedOn w:val="20"/>
    <w:qFormat/>
    <w:uiPriority w:val="99"/>
    <w:rPr>
      <w:sz w:val="21"/>
      <w:szCs w:val="21"/>
    </w:rPr>
  </w:style>
  <w:style w:type="paragraph" w:customStyle="1" w:styleId="25">
    <w:name w:val="标题 31"/>
    <w:basedOn w:val="1"/>
    <w:next w:val="1"/>
    <w:qFormat/>
    <w:uiPriority w:val="0"/>
    <w:pPr>
      <w:keepNext/>
      <w:keepLines/>
      <w:spacing w:before="360" w:after="120"/>
      <w:jc w:val="left"/>
      <w:outlineLvl w:val="2"/>
    </w:pPr>
    <w:rPr>
      <w:rFonts w:ascii="宋体"/>
      <w:b/>
      <w:sz w:val="24"/>
      <w:szCs w:val="20"/>
      <w:u w:val="single"/>
    </w:rPr>
  </w:style>
  <w:style w:type="paragraph" w:customStyle="1" w:styleId="2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27">
    <w:name w:val="List Paragraph"/>
    <w:basedOn w:val="1"/>
    <w:qFormat/>
    <w:uiPriority w:val="34"/>
    <w:pPr>
      <w:ind w:firstLine="420" w:firstLineChars="200"/>
    </w:pPr>
    <w:rPr>
      <w:rFonts w:ascii="Calibri" w:hAnsi="Calibri"/>
      <w:szCs w:val="22"/>
    </w:rPr>
  </w:style>
  <w:style w:type="character" w:customStyle="1" w:styleId="28">
    <w:name w:val="font21"/>
    <w:qFormat/>
    <w:uiPriority w:val="0"/>
    <w:rPr>
      <w:rFonts w:hint="default" w:ascii="Times New Roman" w:hAnsi="Times New Roman" w:cs="Times New Roman"/>
      <w:color w:val="000000"/>
      <w:sz w:val="20"/>
      <w:szCs w:val="20"/>
      <w:u w:val="none"/>
    </w:rPr>
  </w:style>
  <w:style w:type="paragraph" w:customStyle="1" w:styleId="29">
    <w:name w:val="列表段落1"/>
    <w:basedOn w:val="1"/>
    <w:qFormat/>
    <w:uiPriority w:val="34"/>
    <w:pPr>
      <w:ind w:firstLine="420" w:firstLineChars="200"/>
    </w:pPr>
  </w:style>
  <w:style w:type="paragraph" w:customStyle="1" w:styleId="30">
    <w:name w:val="Body Text Indent 21"/>
    <w:basedOn w:val="1"/>
    <w:qFormat/>
    <w:uiPriority w:val="0"/>
    <w:pPr>
      <w:spacing w:before="100" w:beforeAutospacing="1" w:after="100" w:afterAutospacing="1" w:line="480" w:lineRule="auto"/>
      <w:ind w:left="200" w:leftChars="200"/>
    </w:pPr>
    <w:rPr>
      <w:rFonts w:ascii="Calibri" w:hAnsi="Calibri"/>
    </w:rPr>
  </w:style>
  <w:style w:type="character" w:customStyle="1" w:styleId="31">
    <w:name w:val="font131"/>
    <w:basedOn w:val="20"/>
    <w:qFormat/>
    <w:uiPriority w:val="0"/>
    <w:rPr>
      <w:rFonts w:ascii="Arial" w:hAnsi="Arial" w:cs="Arial"/>
      <w:color w:val="000000"/>
      <w:sz w:val="18"/>
      <w:szCs w:val="18"/>
      <w:u w:val="none"/>
    </w:rPr>
  </w:style>
  <w:style w:type="character" w:customStyle="1" w:styleId="32">
    <w:name w:val="font31"/>
    <w:basedOn w:val="20"/>
    <w:qFormat/>
    <w:uiPriority w:val="0"/>
    <w:rPr>
      <w:rFonts w:hint="eastAsia" w:ascii="宋体" w:hAnsi="宋体" w:eastAsia="宋体" w:cs="宋体"/>
      <w:b/>
      <w:bCs/>
      <w:color w:val="000000"/>
      <w:sz w:val="12"/>
      <w:szCs w:val="12"/>
      <w:u w:val="none"/>
    </w:rPr>
  </w:style>
  <w:style w:type="paragraph" w:customStyle="1" w:styleId="33">
    <w:name w:val="成文日期"/>
    <w:basedOn w:val="1"/>
    <w:qFormat/>
    <w:uiPriority w:val="0"/>
    <w:pPr>
      <w:spacing w:line="570" w:lineRule="exact"/>
      <w:ind w:right="400" w:rightChars="400" w:firstLine="200" w:firstLineChars="200"/>
      <w:jc w:val="right"/>
    </w:pPr>
    <w:rPr>
      <w:rFonts w:ascii="仿宋_GB2312" w:eastAsia="仿宋_GB2312"/>
      <w:sz w:val="32"/>
      <w:szCs w:val="20"/>
    </w:rPr>
  </w:style>
  <w:style w:type="character" w:customStyle="1" w:styleId="34">
    <w:name w:val="font51"/>
    <w:basedOn w:val="20"/>
    <w:qFormat/>
    <w:uiPriority w:val="0"/>
    <w:rPr>
      <w:rFonts w:hint="eastAsia" w:ascii="宋体" w:hAnsi="宋体" w:eastAsia="宋体" w:cs="宋体"/>
      <w:b/>
      <w:bCs/>
      <w:color w:val="000000"/>
      <w:sz w:val="12"/>
      <w:szCs w:val="12"/>
      <w:u w:val="none"/>
      <w:vertAlign w:val="superscript"/>
    </w:rPr>
  </w:style>
  <w:style w:type="character" w:customStyle="1" w:styleId="35">
    <w:name w:val="font81"/>
    <w:basedOn w:val="20"/>
    <w:qFormat/>
    <w:uiPriority w:val="0"/>
    <w:rPr>
      <w:rFonts w:hint="eastAsia" w:ascii="微软雅黑" w:hAnsi="微软雅黑" w:eastAsia="微软雅黑" w:cs="微软雅黑"/>
      <w:color w:val="000000"/>
      <w:sz w:val="18"/>
      <w:szCs w:val="18"/>
      <w:u w:val="none"/>
    </w:rPr>
  </w:style>
  <w:style w:type="paragraph" w:customStyle="1" w:styleId="36">
    <w:name w:val="_Style 25"/>
    <w:basedOn w:val="1"/>
    <w:next w:val="1"/>
    <w:qFormat/>
    <w:uiPriority w:val="0"/>
    <w:pPr>
      <w:ind w:left="1260"/>
    </w:pPr>
    <w:rPr>
      <w:szCs w:val="20"/>
    </w:rPr>
  </w:style>
  <w:style w:type="paragraph" w:customStyle="1" w:styleId="37">
    <w:name w:val="标题 41"/>
    <w:basedOn w:val="1"/>
    <w:next w:val="1"/>
    <w:qFormat/>
    <w:uiPriority w:val="0"/>
    <w:pPr>
      <w:keepNext/>
      <w:keepLines/>
      <w:spacing w:before="280" w:after="290" w:line="376" w:lineRule="atLeast"/>
      <w:outlineLvl w:val="3"/>
    </w:pPr>
    <w:rPr>
      <w:rFonts w:ascii="Arial" w:hAnsi="Arial" w:eastAsia="黑体"/>
      <w:b/>
      <w:sz w:val="28"/>
      <w:szCs w:val="20"/>
    </w:rPr>
  </w:style>
  <w:style w:type="paragraph" w:customStyle="1" w:styleId="3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39">
    <w:name w:val="图例"/>
    <w:basedOn w:val="1"/>
    <w:qFormat/>
    <w:uiPriority w:val="0"/>
    <w:pPr>
      <w:spacing w:before="120" w:after="120" w:line="360" w:lineRule="auto"/>
      <w:jc w:val="center"/>
    </w:pPr>
    <w:rPr>
      <w:rFonts w:eastAsia="仿宋_GB2312"/>
      <w:b/>
      <w:sz w:val="24"/>
      <w:szCs w:val="20"/>
    </w:rPr>
  </w:style>
  <w:style w:type="character" w:customStyle="1" w:styleId="40">
    <w:name w:val="font121"/>
    <w:basedOn w:val="20"/>
    <w:qFormat/>
    <w:uiPriority w:val="0"/>
    <w:rPr>
      <w:rFonts w:ascii="微软雅黑" w:hAnsi="微软雅黑" w:eastAsia="微软雅黑" w:cs="微软雅黑"/>
      <w:color w:val="000000"/>
      <w:sz w:val="18"/>
      <w:szCs w:val="18"/>
      <w:u w:val="none"/>
    </w:rPr>
  </w:style>
  <w:style w:type="character" w:customStyle="1" w:styleId="41">
    <w:name w:val="font41"/>
    <w:qFormat/>
    <w:uiPriority w:val="0"/>
    <w:rPr>
      <w:rFonts w:hint="eastAsia" w:ascii="宋体" w:hAnsi="宋体" w:eastAsia="宋体" w:cs="宋体"/>
      <w:color w:val="000000"/>
      <w:sz w:val="20"/>
      <w:szCs w:val="20"/>
      <w:u w:val="none"/>
    </w:rPr>
  </w:style>
  <w:style w:type="paragraph" w:customStyle="1" w:styleId="42">
    <w:name w:val="正文1"/>
    <w:basedOn w:val="1"/>
    <w:next w:val="1"/>
    <w:qFormat/>
    <w:uiPriority w:val="0"/>
    <w:pPr>
      <w:spacing w:before="120" w:line="360" w:lineRule="auto"/>
      <w:ind w:left="420" w:firstLine="527"/>
    </w:pPr>
    <w:rPr>
      <w:rFonts w:ascii="宋体" w:hAnsi="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81</Pages>
  <Words>15384</Words>
  <Characters>16471</Characters>
  <TotalTime>99</TotalTime>
  <ScaleCrop>false</ScaleCrop>
  <LinksUpToDate>false</LinksUpToDate>
  <CharactersWithSpaces>16738</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2026-07-27T09:04:00Z</dcterms:created>
  <dc:creator>Administrator</dc:creator>
  <cp:lastModifiedBy>秋</cp:lastModifiedBy>
  <dcterms:modified xsi:type="dcterms:W3CDTF">2026-09-02T05:23:32Z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eyJoZGlkIjoiZjk3YjU1NTc0MGFkOTZjNGU4ZWU5MGFjZDVkYWJmMmQiLCJ1c2VySWQiOiIzNTU4MzQzMjYifQ==</vt:lpwstr>
  </property>
  <property fmtid="{D5CDD505-2E9C-101B-9397-08002B2CF9AE}" pid="3" name="KSOProductBuildVer">
    <vt:lpwstr>2052-12.1.0.23125</vt:lpwstr>
  </property>
  <property fmtid="{D5CDD505-2E9C-101B-9397-08002B2CF9AE}" pid="4" name="ICV">
    <vt:lpwstr>5A9B5A4490FB4C43A1BC791E296D3778_12</vt:lpwstr>
  </property>
</Properties>
</file>