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220" w:firstLineChars="50"/>
        <w:rPr>
          <w:rFonts w:ascii="宋体" w:hAnsi="宋体" w:cs="宋体"/>
          <w:color w:val="auto"/>
          <w:sz w:val="32"/>
          <w:szCs w:val="32"/>
          <w:highlight w:val="none"/>
        </w:rPr>
      </w:pPr>
      <w:r>
        <w:rPr>
          <w:rFonts w:hint="eastAsia" w:ascii="宋体" w:hAnsi="宋体" w:cs="宋体"/>
          <w:color w:val="auto"/>
          <w:sz w:val="44"/>
          <w:szCs w:val="44"/>
          <w:highlight w:val="none"/>
        </w:rPr>
        <w:drawing>
          <wp:inline distT="0" distB="0" distL="114300" distR="114300">
            <wp:extent cx="939800" cy="939800"/>
            <wp:effectExtent l="0" t="0" r="12700" b="12700"/>
            <wp:docPr id="2" name="图片 1" descr="边长8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边长8cm"/>
                    <pic:cNvPicPr>
                      <a:picLocks noChangeAspect="1"/>
                    </pic:cNvPicPr>
                  </pic:nvPicPr>
                  <pic:blipFill>
                    <a:blip r:embed="rId6" cstate="print"/>
                    <a:stretch>
                      <a:fillRect/>
                    </a:stretch>
                  </pic:blipFill>
                  <pic:spPr>
                    <a:xfrm>
                      <a:off x="0" y="0"/>
                      <a:ext cx="939800" cy="939800"/>
                    </a:xfrm>
                    <a:prstGeom prst="rect">
                      <a:avLst/>
                    </a:prstGeom>
                    <a:noFill/>
                    <a:ln>
                      <a:noFill/>
                    </a:ln>
                  </pic:spPr>
                </pic:pic>
              </a:graphicData>
            </a:graphic>
          </wp:inline>
        </w:drawing>
      </w: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p>
    <w:p>
      <w:pPr>
        <w:jc w:val="center"/>
        <w:rPr>
          <w:rFonts w:ascii="宋体" w:hAnsi="宋体" w:cs="宋体"/>
          <w:b/>
          <w:bCs/>
          <w:color w:val="auto"/>
          <w:sz w:val="72"/>
          <w:szCs w:val="72"/>
          <w:highlight w:val="none"/>
        </w:rPr>
      </w:pPr>
      <w:r>
        <w:rPr>
          <w:rFonts w:ascii="宋体" w:hAnsi="宋体" w:cs="宋体"/>
          <w:b/>
          <w:bCs/>
          <w:color w:val="auto"/>
          <w:sz w:val="72"/>
          <w:szCs w:val="72"/>
          <w:highlight w:val="none"/>
        </w:rPr>
        <w:t>竞</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争</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性</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谈</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判</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文</w:t>
      </w:r>
      <w:r>
        <w:rPr>
          <w:rFonts w:hint="eastAsia" w:ascii="宋体" w:hAnsi="宋体" w:cs="宋体"/>
          <w:b/>
          <w:bCs/>
          <w:color w:val="auto"/>
          <w:sz w:val="72"/>
          <w:szCs w:val="72"/>
          <w:highlight w:val="none"/>
          <w:lang w:val="en-US" w:eastAsia="zh-CN"/>
        </w:rPr>
        <w:t xml:space="preserve"> </w:t>
      </w:r>
      <w:r>
        <w:rPr>
          <w:rFonts w:ascii="宋体" w:hAnsi="宋体" w:cs="宋体"/>
          <w:b/>
          <w:bCs/>
          <w:color w:val="auto"/>
          <w:sz w:val="72"/>
          <w:szCs w:val="72"/>
          <w:highlight w:val="none"/>
        </w:rPr>
        <w:t>件</w:t>
      </w:r>
    </w:p>
    <w:p>
      <w:pPr>
        <w:jc w:val="center"/>
        <w:rPr>
          <w:rFonts w:ascii="宋体" w:hAnsi="宋体" w:cs="宋体"/>
          <w:b/>
          <w:bCs/>
          <w:color w:val="auto"/>
          <w:sz w:val="72"/>
          <w:szCs w:val="72"/>
          <w:highlight w:val="none"/>
        </w:rPr>
      </w:pPr>
    </w:p>
    <w:p>
      <w:pPr>
        <w:jc w:val="center"/>
        <w:rPr>
          <w:rFonts w:ascii="宋体" w:hAnsi="宋体" w:cs="宋体"/>
          <w:b/>
          <w:bCs/>
          <w:color w:val="auto"/>
          <w:sz w:val="60"/>
          <w:szCs w:val="60"/>
          <w:highlight w:val="none"/>
        </w:rPr>
      </w:pPr>
    </w:p>
    <w:p>
      <w:pPr>
        <w:pStyle w:val="21"/>
        <w:rPr>
          <w:rFonts w:cs="宋体"/>
          <w:b/>
          <w:bCs/>
          <w:color w:val="auto"/>
          <w:sz w:val="60"/>
          <w:szCs w:val="60"/>
          <w:highlight w:val="none"/>
        </w:rPr>
      </w:pPr>
    </w:p>
    <w:p>
      <w:pPr>
        <w:rPr>
          <w:rFonts w:ascii="宋体" w:hAnsi="宋体" w:cs="宋体"/>
          <w:b/>
          <w:bCs/>
          <w:color w:val="auto"/>
          <w:sz w:val="60"/>
          <w:szCs w:val="60"/>
          <w:highlight w:val="none"/>
        </w:rPr>
      </w:pPr>
    </w:p>
    <w:p>
      <w:pPr>
        <w:pStyle w:val="21"/>
        <w:rPr>
          <w:color w:val="auto"/>
          <w:sz w:val="32"/>
          <w:szCs w:val="32"/>
          <w:highlight w:val="none"/>
        </w:rPr>
      </w:pPr>
    </w:p>
    <w:p>
      <w:pPr>
        <w:tabs>
          <w:tab w:val="left" w:pos="3240"/>
          <w:tab w:val="left" w:pos="3420"/>
        </w:tabs>
        <w:spacing w:line="700" w:lineRule="exact"/>
        <w:ind w:leftChars="500"/>
        <w:jc w:val="left"/>
        <w:rPr>
          <w:rFonts w:hint="eastAsia" w:ascii="宋体" w:hAnsi="宋体" w:cs="宋体"/>
          <w:bCs/>
          <w:color w:val="auto"/>
          <w:sz w:val="32"/>
          <w:szCs w:val="32"/>
          <w:highlight w:val="none"/>
          <w:lang w:eastAsia="zh-CN"/>
        </w:rPr>
      </w:pPr>
      <w:r>
        <w:rPr>
          <w:rFonts w:hint="eastAsia" w:ascii="宋体" w:hAnsi="宋体" w:cs="宋体"/>
          <w:bCs/>
          <w:color w:val="auto"/>
          <w:sz w:val="32"/>
          <w:szCs w:val="32"/>
          <w:highlight w:val="none"/>
        </w:rPr>
        <w:t>项目名称：</w:t>
      </w:r>
      <w:r>
        <w:rPr>
          <w:rFonts w:hint="eastAsia" w:ascii="宋体" w:hAnsi="宋体" w:cs="宋体"/>
          <w:bCs/>
          <w:color w:val="auto"/>
          <w:sz w:val="32"/>
          <w:szCs w:val="32"/>
          <w:highlight w:val="none"/>
          <w:lang w:eastAsia="zh-CN"/>
        </w:rPr>
        <w:t>常州市新北区消防救援大队端午节福利</w:t>
      </w:r>
    </w:p>
    <w:p>
      <w:pPr>
        <w:tabs>
          <w:tab w:val="left" w:pos="3240"/>
          <w:tab w:val="left" w:pos="3420"/>
        </w:tabs>
        <w:spacing w:line="700" w:lineRule="exact"/>
        <w:ind w:leftChars="500" w:firstLine="1600" w:firstLineChars="500"/>
        <w:jc w:val="left"/>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lang w:eastAsia="zh-CN"/>
        </w:rPr>
        <w:t>采购项目</w:t>
      </w:r>
    </w:p>
    <w:p>
      <w:pPr>
        <w:tabs>
          <w:tab w:val="left" w:pos="3240"/>
          <w:tab w:val="left" w:pos="3420"/>
        </w:tabs>
        <w:spacing w:line="700" w:lineRule="exact"/>
        <w:ind w:leftChars="500"/>
        <w:jc w:val="left"/>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项目编号：</w:t>
      </w:r>
      <w:r>
        <w:rPr>
          <w:rFonts w:hint="eastAsia" w:ascii="宋体" w:hAnsi="宋体" w:cs="宋体"/>
          <w:bCs/>
          <w:color w:val="auto"/>
          <w:sz w:val="32"/>
          <w:szCs w:val="32"/>
          <w:highlight w:val="none"/>
          <w:lang w:eastAsia="zh-CN"/>
        </w:rPr>
        <w:t>青枫采竞-2023006</w:t>
      </w:r>
    </w:p>
    <w:p>
      <w:pPr>
        <w:tabs>
          <w:tab w:val="left" w:pos="3240"/>
          <w:tab w:val="left" w:pos="3420"/>
        </w:tabs>
        <w:spacing w:line="700" w:lineRule="exact"/>
        <w:ind w:leftChars="500"/>
        <w:jc w:val="left"/>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 购 人：</w:t>
      </w:r>
      <w:r>
        <w:rPr>
          <w:rFonts w:hint="eastAsia" w:ascii="宋体" w:hAnsi="宋体" w:cs="宋体"/>
          <w:bCs/>
          <w:color w:val="auto"/>
          <w:sz w:val="32"/>
          <w:szCs w:val="32"/>
          <w:highlight w:val="none"/>
          <w:lang w:eastAsia="zh-CN"/>
        </w:rPr>
        <w:t>常州市新北区消防救援大队</w:t>
      </w:r>
    </w:p>
    <w:p>
      <w:pPr>
        <w:tabs>
          <w:tab w:val="left" w:pos="3240"/>
          <w:tab w:val="left" w:pos="3420"/>
        </w:tabs>
        <w:spacing w:line="700" w:lineRule="exact"/>
        <w:ind w:leftChars="500"/>
        <w:jc w:val="left"/>
        <w:rPr>
          <w:rFonts w:ascii="宋体" w:hAnsi="宋体" w:cs="宋体"/>
          <w:bCs/>
          <w:color w:val="auto"/>
          <w:sz w:val="32"/>
          <w:szCs w:val="32"/>
          <w:highlight w:val="none"/>
        </w:rPr>
      </w:pPr>
      <w:r>
        <w:rPr>
          <w:rFonts w:hint="eastAsia" w:ascii="宋体" w:hAnsi="宋体" w:cs="宋体"/>
          <w:bCs/>
          <w:color w:val="auto"/>
          <w:sz w:val="32"/>
          <w:szCs w:val="32"/>
          <w:highlight w:val="none"/>
        </w:rPr>
        <w:t>采购代理机构：常州青枫招标有限公司</w:t>
      </w:r>
    </w:p>
    <w:p>
      <w:pPr>
        <w:tabs>
          <w:tab w:val="left" w:pos="3240"/>
          <w:tab w:val="left" w:pos="3420"/>
        </w:tabs>
        <w:spacing w:line="700" w:lineRule="exact"/>
        <w:jc w:val="center"/>
        <w:rPr>
          <w:rFonts w:ascii="宋体" w:hAnsi="宋体" w:cs="宋体"/>
          <w:bCs/>
          <w:color w:val="auto"/>
          <w:sz w:val="32"/>
          <w:szCs w:val="32"/>
          <w:highlight w:val="none"/>
        </w:rPr>
      </w:pPr>
      <w:r>
        <w:rPr>
          <w:rFonts w:hint="eastAsia" w:ascii="宋体" w:hAnsi="宋体" w:cs="宋体"/>
          <w:bCs/>
          <w:color w:val="auto"/>
          <w:sz w:val="32"/>
          <w:szCs w:val="32"/>
          <w:highlight w:val="none"/>
        </w:rPr>
        <w:br w:type="page"/>
      </w:r>
      <w:bookmarkStart w:id="0" w:name="_Toc99301418"/>
    </w:p>
    <w:p>
      <w:pPr>
        <w:tabs>
          <w:tab w:val="left" w:pos="3240"/>
          <w:tab w:val="left" w:pos="3420"/>
        </w:tabs>
        <w:spacing w:line="700" w:lineRule="exact"/>
        <w:jc w:val="center"/>
        <w:rPr>
          <w:rFonts w:ascii="宋体" w:hAnsi="宋体" w:cs="宋体"/>
          <w:bCs/>
          <w:color w:val="auto"/>
          <w:sz w:val="32"/>
          <w:szCs w:val="32"/>
          <w:highlight w:val="none"/>
        </w:rPr>
      </w:pPr>
    </w:p>
    <w:p>
      <w:pPr>
        <w:tabs>
          <w:tab w:val="left" w:pos="3240"/>
          <w:tab w:val="left" w:pos="3420"/>
        </w:tabs>
        <w:spacing w:line="700" w:lineRule="exact"/>
        <w:jc w:val="center"/>
        <w:rPr>
          <w:rFonts w:ascii="宋体" w:hAnsi="宋体" w:cs="宋体"/>
          <w:b/>
          <w:color w:val="auto"/>
          <w:sz w:val="36"/>
          <w:szCs w:val="36"/>
          <w:highlight w:val="none"/>
        </w:rPr>
      </w:pPr>
      <w:r>
        <w:rPr>
          <w:rFonts w:hint="eastAsia" w:ascii="宋体" w:hAnsi="宋体" w:cs="宋体"/>
          <w:b/>
          <w:color w:val="auto"/>
          <w:sz w:val="44"/>
          <w:szCs w:val="44"/>
          <w:highlight w:val="none"/>
        </w:rPr>
        <w:t>目      录</w:t>
      </w:r>
      <w:bookmarkEnd w:id="0"/>
    </w:p>
    <w:p>
      <w:pPr>
        <w:rPr>
          <w:rFonts w:ascii="宋体" w:hAnsi="宋体" w:cs="宋体"/>
          <w:color w:val="auto"/>
          <w:highlight w:val="none"/>
        </w:rPr>
      </w:pPr>
    </w:p>
    <w:p>
      <w:pPr>
        <w:pStyle w:val="16"/>
        <w:tabs>
          <w:tab w:val="right" w:leader="dot" w:pos="8306"/>
          <w:tab w:val="clear" w:pos="1050"/>
          <w:tab w:val="clear" w:pos="8937"/>
        </w:tabs>
        <w:spacing w:line="600" w:lineRule="auto"/>
        <w:rPr>
          <w:color w:val="auto"/>
          <w:sz w:val="28"/>
          <w:szCs w:val="28"/>
          <w:highlight w:val="none"/>
        </w:rPr>
      </w:pPr>
      <w:r>
        <w:rPr>
          <w:rFonts w:hint="eastAsia" w:cs="宋体"/>
          <w:b w:val="0"/>
          <w:color w:val="auto"/>
          <w:sz w:val="28"/>
          <w:szCs w:val="28"/>
          <w:highlight w:val="none"/>
        </w:rPr>
        <w:fldChar w:fldCharType="begin"/>
      </w:r>
      <w:r>
        <w:rPr>
          <w:rFonts w:hint="eastAsia" w:cs="宋体"/>
          <w:b w:val="0"/>
          <w:color w:val="auto"/>
          <w:sz w:val="28"/>
          <w:szCs w:val="28"/>
          <w:highlight w:val="none"/>
        </w:rPr>
        <w:instrText xml:space="preserve">TOC \o "1-1" \h \u </w:instrText>
      </w:r>
      <w:r>
        <w:rPr>
          <w:rFonts w:hint="eastAsia" w:cs="宋体"/>
          <w:b w:val="0"/>
          <w:color w:val="auto"/>
          <w:sz w:val="28"/>
          <w:szCs w:val="28"/>
          <w:highlight w:val="none"/>
        </w:rPr>
        <w:fldChar w:fldCharType="separate"/>
      </w: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_Toc19167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 xml:space="preserve">第一章   </w:t>
      </w:r>
      <w:r>
        <w:rPr>
          <w:rFonts w:hint="eastAsia" w:ascii="宋体" w:hAnsi="宋体" w:cs="宋体"/>
          <w:color w:val="auto"/>
          <w:sz w:val="28"/>
          <w:szCs w:val="28"/>
          <w:highlight w:val="none"/>
          <w:lang w:val="en-US" w:eastAsia="zh-CN"/>
        </w:rPr>
        <w:t>采购</w:t>
      </w:r>
      <w:r>
        <w:rPr>
          <w:rFonts w:hint="eastAsia" w:ascii="宋体" w:hAnsi="宋体" w:cs="宋体"/>
          <w:color w:val="auto"/>
          <w:sz w:val="28"/>
          <w:szCs w:val="28"/>
          <w:highlight w:val="none"/>
        </w:rPr>
        <w:t>邀请</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_Toc19167 \h </w:instrText>
      </w:r>
      <w:r>
        <w:rPr>
          <w:color w:val="auto"/>
          <w:sz w:val="28"/>
          <w:szCs w:val="28"/>
          <w:highlight w:val="none"/>
        </w:rPr>
        <w:fldChar w:fldCharType="separate"/>
      </w:r>
      <w:r>
        <w:rPr>
          <w:color w:val="auto"/>
          <w:sz w:val="28"/>
          <w:szCs w:val="28"/>
          <w:highlight w:val="none"/>
        </w:rPr>
        <w:t>3</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_Toc24920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 xml:space="preserve">第二章   </w:t>
      </w:r>
      <w:r>
        <w:rPr>
          <w:rFonts w:hint="eastAsia" w:ascii="宋体" w:hAnsi="宋体" w:cs="宋体"/>
          <w:color w:val="auto"/>
          <w:sz w:val="28"/>
          <w:szCs w:val="28"/>
          <w:highlight w:val="none"/>
          <w:lang w:eastAsia="zh-CN"/>
        </w:rPr>
        <w:t>供应商</w:t>
      </w:r>
      <w:r>
        <w:rPr>
          <w:rFonts w:hint="eastAsia" w:ascii="宋体" w:hAnsi="宋体" w:cs="宋体"/>
          <w:color w:val="auto"/>
          <w:sz w:val="28"/>
          <w:szCs w:val="28"/>
          <w:highlight w:val="none"/>
        </w:rPr>
        <w:t>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_Toc24920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_Toc28643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第三章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评审程序和评定成交的标准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_Toc28643 \h </w:instrText>
      </w:r>
      <w:r>
        <w:rPr>
          <w:color w:val="auto"/>
          <w:sz w:val="28"/>
          <w:szCs w:val="28"/>
          <w:highlight w:val="none"/>
        </w:rPr>
        <w:fldChar w:fldCharType="separate"/>
      </w:r>
      <w:r>
        <w:rPr>
          <w:color w:val="auto"/>
          <w:sz w:val="28"/>
          <w:szCs w:val="28"/>
          <w:highlight w:val="none"/>
        </w:rPr>
        <w:t>17</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_Toc19856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章</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_Toc19856 \h </w:instrText>
      </w:r>
      <w:r>
        <w:rPr>
          <w:color w:val="auto"/>
          <w:sz w:val="28"/>
          <w:szCs w:val="28"/>
          <w:highlight w:val="none"/>
        </w:rPr>
        <w:fldChar w:fldCharType="separate"/>
      </w:r>
      <w:r>
        <w:rPr>
          <w:color w:val="auto"/>
          <w:sz w:val="28"/>
          <w:szCs w:val="28"/>
          <w:highlight w:val="none"/>
        </w:rPr>
        <w:t>22</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_Toc23311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 xml:space="preserve">章 </w:t>
      </w:r>
      <w:r>
        <w:rPr>
          <w:rFonts w:hint="eastAsia" w:ascii="宋体" w:hAnsi="宋体" w:cs="宋体"/>
          <w:color w:val="auto"/>
          <w:sz w:val="28"/>
          <w:szCs w:val="28"/>
          <w:highlight w:val="none"/>
          <w:lang w:val="en-US" w:eastAsia="zh-CN"/>
        </w:rPr>
        <w:t xml:space="preserve">  </w:t>
      </w:r>
      <w:r>
        <w:rPr>
          <w:rFonts w:hint="eastAsia" w:ascii="宋体" w:hAnsi="宋体" w:cs="宋体"/>
          <w:color w:val="auto"/>
          <w:sz w:val="28"/>
          <w:szCs w:val="28"/>
          <w:highlight w:val="none"/>
        </w:rPr>
        <w:t>合同草案条款</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_Toc23311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rFonts w:hint="eastAsia" w:cs="宋体"/>
          <w:color w:val="auto"/>
          <w:sz w:val="28"/>
          <w:szCs w:val="28"/>
          <w:highlight w:val="none"/>
        </w:rPr>
        <w:fldChar w:fldCharType="end"/>
      </w:r>
    </w:p>
    <w:p>
      <w:pPr>
        <w:pStyle w:val="16"/>
        <w:tabs>
          <w:tab w:val="right" w:leader="dot" w:pos="8306"/>
          <w:tab w:val="clear" w:pos="1050"/>
          <w:tab w:val="clear" w:pos="8937"/>
        </w:tabs>
        <w:spacing w:line="600" w:lineRule="auto"/>
        <w:rPr>
          <w:color w:val="auto"/>
          <w:sz w:val="28"/>
          <w:szCs w:val="28"/>
          <w:highlight w:val="none"/>
        </w:rPr>
      </w:pPr>
      <w:r>
        <w:rPr>
          <w:rFonts w:hint="eastAsia" w:cs="宋体"/>
          <w:color w:val="auto"/>
          <w:sz w:val="28"/>
          <w:szCs w:val="28"/>
          <w:highlight w:val="none"/>
        </w:rPr>
        <w:fldChar w:fldCharType="begin"/>
      </w:r>
      <w:r>
        <w:rPr>
          <w:rFonts w:hint="eastAsia" w:cs="宋体"/>
          <w:color w:val="auto"/>
          <w:sz w:val="28"/>
          <w:szCs w:val="28"/>
          <w:highlight w:val="none"/>
        </w:rPr>
        <w:instrText xml:space="preserve"> HYPERLINK \l _Toc14255 </w:instrText>
      </w:r>
      <w:r>
        <w:rPr>
          <w:rFonts w:hint="eastAsia" w:cs="宋体"/>
          <w:color w:val="auto"/>
          <w:sz w:val="28"/>
          <w:szCs w:val="28"/>
          <w:highlight w:val="none"/>
        </w:rPr>
        <w:fldChar w:fldCharType="separate"/>
      </w:r>
      <w:r>
        <w:rPr>
          <w:rFonts w:hint="eastAsia" w:ascii="宋体" w:hAnsi="宋体" w:cs="宋体"/>
          <w:color w:val="auto"/>
          <w:sz w:val="28"/>
          <w:szCs w:val="28"/>
          <w:highlight w:val="none"/>
        </w:rPr>
        <w:t>第</w:t>
      </w:r>
      <w:r>
        <w:rPr>
          <w:rFonts w:hint="eastAsia" w:ascii="宋体" w:hAnsi="宋体" w:cs="宋体"/>
          <w:color w:val="auto"/>
          <w:sz w:val="28"/>
          <w:szCs w:val="28"/>
          <w:highlight w:val="none"/>
          <w:lang w:val="en-US" w:eastAsia="zh-CN"/>
        </w:rPr>
        <w:t>六</w:t>
      </w:r>
      <w:r>
        <w:rPr>
          <w:rFonts w:hint="eastAsia" w:ascii="宋体" w:hAnsi="宋体" w:cs="宋体"/>
          <w:color w:val="auto"/>
          <w:sz w:val="28"/>
          <w:szCs w:val="28"/>
          <w:highlight w:val="none"/>
        </w:rPr>
        <w:t xml:space="preserve">章   </w:t>
      </w:r>
      <w:r>
        <w:rPr>
          <w:rFonts w:hint="eastAsia" w:ascii="宋体" w:hAnsi="宋体" w:cs="宋体"/>
          <w:color w:val="auto"/>
          <w:sz w:val="28"/>
          <w:szCs w:val="28"/>
          <w:highlight w:val="none"/>
          <w:lang w:eastAsia="zh-CN"/>
        </w:rPr>
        <w:t>响应文件</w:t>
      </w:r>
      <w:r>
        <w:rPr>
          <w:rFonts w:hint="eastAsia" w:ascii="宋体" w:hAnsi="宋体" w:cs="宋体"/>
          <w:color w:val="auto"/>
          <w:sz w:val="28"/>
          <w:szCs w:val="28"/>
          <w:highlight w:val="none"/>
        </w:rPr>
        <w:t>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_Toc14255 \h </w:instrText>
      </w:r>
      <w:r>
        <w:rPr>
          <w:color w:val="auto"/>
          <w:sz w:val="28"/>
          <w:szCs w:val="28"/>
          <w:highlight w:val="none"/>
        </w:rPr>
        <w:fldChar w:fldCharType="separate"/>
      </w:r>
      <w:r>
        <w:rPr>
          <w:color w:val="auto"/>
          <w:sz w:val="28"/>
          <w:szCs w:val="28"/>
          <w:highlight w:val="none"/>
        </w:rPr>
        <w:t>29</w:t>
      </w:r>
      <w:r>
        <w:rPr>
          <w:color w:val="auto"/>
          <w:sz w:val="28"/>
          <w:szCs w:val="28"/>
          <w:highlight w:val="none"/>
        </w:rPr>
        <w:fldChar w:fldCharType="end"/>
      </w:r>
      <w:r>
        <w:rPr>
          <w:rFonts w:hint="eastAsia" w:cs="宋体"/>
          <w:color w:val="auto"/>
          <w:sz w:val="28"/>
          <w:szCs w:val="28"/>
          <w:highlight w:val="none"/>
        </w:rPr>
        <w:fldChar w:fldCharType="end"/>
      </w:r>
    </w:p>
    <w:p>
      <w:pPr>
        <w:pStyle w:val="16"/>
        <w:spacing w:line="600" w:lineRule="auto"/>
        <w:rPr>
          <w:rFonts w:hint="eastAsia" w:cs="宋体"/>
          <w:b w:val="0"/>
          <w:color w:val="auto"/>
          <w:highlight w:val="none"/>
        </w:rPr>
      </w:pPr>
      <w:r>
        <w:rPr>
          <w:rFonts w:hint="eastAsia" w:cs="宋体"/>
          <w:color w:val="auto"/>
          <w:sz w:val="28"/>
          <w:szCs w:val="28"/>
          <w:highlight w:val="none"/>
        </w:rPr>
        <w:fldChar w:fldCharType="end"/>
      </w: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rFonts w:hint="eastAsia" w:cs="宋体"/>
          <w:b w:val="0"/>
          <w:color w:val="auto"/>
          <w:highlight w:val="none"/>
        </w:rPr>
      </w:pPr>
    </w:p>
    <w:p>
      <w:pPr>
        <w:rPr>
          <w:rFonts w:hint="eastAsia" w:cs="宋体"/>
          <w:b w:val="0"/>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p>
      <w:pPr>
        <w:spacing w:line="360" w:lineRule="auto"/>
        <w:jc w:val="center"/>
        <w:outlineLvl w:val="0"/>
        <w:rPr>
          <w:rFonts w:ascii="宋体" w:hAnsi="宋体" w:cs="宋体"/>
          <w:b/>
          <w:color w:val="auto"/>
          <w:sz w:val="32"/>
          <w:szCs w:val="32"/>
          <w:highlight w:val="none"/>
        </w:rPr>
      </w:pPr>
      <w:bookmarkStart w:id="1" w:name="_Toc19167"/>
      <w:r>
        <w:rPr>
          <w:rFonts w:hint="eastAsia" w:ascii="宋体" w:hAnsi="宋体" w:cs="宋体"/>
          <w:b/>
          <w:color w:val="auto"/>
          <w:sz w:val="32"/>
          <w:szCs w:val="32"/>
          <w:highlight w:val="none"/>
        </w:rPr>
        <w:t xml:space="preserve">第一章   </w:t>
      </w:r>
      <w:r>
        <w:rPr>
          <w:rFonts w:hint="eastAsia" w:ascii="宋体" w:hAnsi="宋体" w:cs="宋体"/>
          <w:b/>
          <w:color w:val="auto"/>
          <w:sz w:val="32"/>
          <w:szCs w:val="32"/>
          <w:highlight w:val="none"/>
          <w:lang w:val="en-US" w:eastAsia="zh-CN"/>
        </w:rPr>
        <w:t>采购</w:t>
      </w:r>
      <w:r>
        <w:rPr>
          <w:rFonts w:hint="eastAsia" w:ascii="宋体" w:hAnsi="宋体" w:cs="宋体"/>
          <w:b/>
          <w:color w:val="auto"/>
          <w:sz w:val="32"/>
          <w:szCs w:val="32"/>
          <w:highlight w:val="none"/>
        </w:rPr>
        <w:t>邀请</w:t>
      </w:r>
      <w:bookmarkEnd w:id="1"/>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一、项目基本情况</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1.项目编号：</w:t>
      </w:r>
      <w:r>
        <w:rPr>
          <w:rFonts w:hint="eastAsia" w:ascii="宋体" w:hAnsi="宋体" w:cs="宋体"/>
          <w:color w:val="auto"/>
          <w:szCs w:val="21"/>
          <w:highlight w:val="none"/>
          <w:u w:val="none"/>
          <w:lang w:eastAsia="zh-CN"/>
        </w:rPr>
        <w:t>青枫采竞-2023006</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2.项目名称：</w:t>
      </w:r>
      <w:r>
        <w:rPr>
          <w:rFonts w:hint="eastAsia" w:ascii="宋体" w:hAnsi="宋体" w:cs="宋体"/>
          <w:color w:val="auto"/>
          <w:szCs w:val="21"/>
          <w:highlight w:val="none"/>
          <w:u w:val="none"/>
          <w:lang w:eastAsia="zh-CN"/>
        </w:rPr>
        <w:t>常州市新北区消防救援大队端午节福利采购项目</w:t>
      </w:r>
    </w:p>
    <w:p>
      <w:pPr>
        <w:spacing w:line="360" w:lineRule="auto"/>
        <w:ind w:firstLine="420" w:firstLineChars="200"/>
        <w:rPr>
          <w:rFonts w:hint="eastAsia" w:ascii="宋体" w:hAnsi="宋体" w:cs="宋体"/>
          <w:color w:val="auto"/>
          <w:szCs w:val="21"/>
          <w:highlight w:val="none"/>
          <w:u w:val="none"/>
        </w:rPr>
      </w:pPr>
      <w:r>
        <w:rPr>
          <w:rFonts w:hint="eastAsia" w:ascii="宋体" w:hAnsi="宋体" w:cs="宋体"/>
          <w:color w:val="auto"/>
          <w:szCs w:val="21"/>
          <w:highlight w:val="none"/>
          <w:u w:val="none"/>
        </w:rPr>
        <w:t>3.采购方式：竞争性谈判</w:t>
      </w:r>
    </w:p>
    <w:p>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val="en-US" w:eastAsia="zh-CN"/>
        </w:rPr>
        <w:t>4</w:t>
      </w:r>
      <w:r>
        <w:rPr>
          <w:rFonts w:hint="eastAsia" w:ascii="宋体" w:hAnsi="宋体" w:cs="宋体"/>
          <w:color w:val="auto"/>
          <w:szCs w:val="21"/>
          <w:highlight w:val="none"/>
          <w:u w:val="none"/>
        </w:rPr>
        <w:t>.项目预算金额：</w:t>
      </w:r>
      <w:r>
        <w:rPr>
          <w:rFonts w:hint="eastAsia" w:ascii="宋体" w:hAnsi="宋体" w:cs="宋体"/>
          <w:b/>
          <w:bCs/>
          <w:color w:val="auto"/>
          <w:szCs w:val="21"/>
          <w:highlight w:val="none"/>
          <w:u w:val="none"/>
          <w:lang w:eastAsia="zh-CN"/>
        </w:rPr>
        <w:t>人民币</w:t>
      </w:r>
      <w:r>
        <w:rPr>
          <w:rFonts w:hint="eastAsia" w:ascii="宋体" w:hAnsi="宋体" w:cs="宋体"/>
          <w:b/>
          <w:bCs/>
          <w:color w:val="auto"/>
          <w:szCs w:val="21"/>
          <w:highlight w:val="none"/>
          <w:u w:val="none"/>
          <w:lang w:val="en-US" w:eastAsia="zh-CN"/>
        </w:rPr>
        <w:t>壹拾壹万贰仟元整</w:t>
      </w:r>
      <w:r>
        <w:rPr>
          <w:rFonts w:hint="eastAsia" w:ascii="宋体" w:hAnsi="宋体" w:cs="宋体"/>
          <w:b/>
          <w:bCs/>
          <w:color w:val="auto"/>
          <w:szCs w:val="21"/>
          <w:highlight w:val="none"/>
          <w:u w:val="none"/>
          <w:lang w:eastAsia="zh-CN"/>
        </w:rPr>
        <w:t>（¥</w:t>
      </w:r>
      <w:r>
        <w:rPr>
          <w:rFonts w:hint="eastAsia" w:ascii="宋体" w:hAnsi="宋体" w:cs="宋体"/>
          <w:b/>
          <w:bCs/>
          <w:color w:val="auto"/>
          <w:szCs w:val="21"/>
          <w:highlight w:val="none"/>
          <w:u w:val="none"/>
          <w:lang w:val="en-US" w:eastAsia="zh-CN"/>
        </w:rPr>
        <w:t>112</w:t>
      </w:r>
      <w:r>
        <w:rPr>
          <w:rFonts w:hint="eastAsia" w:ascii="宋体" w:hAnsi="宋体" w:cs="宋体"/>
          <w:b/>
          <w:bCs/>
          <w:color w:val="auto"/>
          <w:szCs w:val="21"/>
          <w:highlight w:val="none"/>
          <w:u w:val="none"/>
          <w:lang w:eastAsia="zh-CN"/>
        </w:rPr>
        <w:t>,000.00）</w:t>
      </w:r>
    </w:p>
    <w:p>
      <w:pPr>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.采购需求：</w:t>
      </w:r>
      <w:bookmarkStart w:id="7" w:name="_GoBack"/>
      <w:bookmarkEnd w:id="7"/>
    </w:p>
    <w:tbl>
      <w:tblPr>
        <w:tblStyle w:val="17"/>
        <w:tblW w:w="5120" w:type="pct"/>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805"/>
        <w:gridCol w:w="1807"/>
        <w:gridCol w:w="910"/>
        <w:gridCol w:w="3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7"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包号</w:t>
            </w:r>
          </w:p>
        </w:tc>
        <w:tc>
          <w:tcPr>
            <w:tcW w:w="103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标的名称</w:t>
            </w:r>
          </w:p>
        </w:tc>
        <w:tc>
          <w:tcPr>
            <w:tcW w:w="103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采购包预算金额</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（万元）</w:t>
            </w:r>
          </w:p>
        </w:tc>
        <w:tc>
          <w:tcPr>
            <w:tcW w:w="5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数量</w:t>
            </w:r>
          </w:p>
        </w:tc>
        <w:tc>
          <w:tcPr>
            <w:tcW w:w="20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color w:val="auto"/>
                <w:sz w:val="21"/>
                <w:szCs w:val="21"/>
                <w:highlight w:val="none"/>
              </w:rPr>
            </w:pPr>
            <w:r>
              <w:rPr>
                <w:rFonts w:hint="eastAsia" w:ascii="宋体" w:hAnsi="宋体" w:cs="宋体"/>
                <w:color w:val="auto"/>
                <w:sz w:val="21"/>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87"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01</w:t>
            </w:r>
          </w:p>
        </w:tc>
        <w:tc>
          <w:tcPr>
            <w:tcW w:w="1034"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eastAsia="zh-CN"/>
              </w:rPr>
              <w:t>常州市新北区消防救援大队端午节福利采购项目</w:t>
            </w:r>
          </w:p>
        </w:tc>
        <w:tc>
          <w:tcPr>
            <w:tcW w:w="1035"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11.20</w:t>
            </w:r>
          </w:p>
        </w:tc>
        <w:tc>
          <w:tcPr>
            <w:tcW w:w="5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1</w:t>
            </w:r>
          </w:p>
        </w:tc>
        <w:tc>
          <w:tcPr>
            <w:tcW w:w="2021" w:type="pct"/>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端午</w:t>
            </w:r>
            <w:r>
              <w:rPr>
                <w:rFonts w:hint="eastAsia" w:ascii="宋体" w:hAnsi="宋体" w:cs="宋体"/>
                <w:bCs/>
                <w:color w:val="auto"/>
                <w:sz w:val="21"/>
                <w:szCs w:val="21"/>
                <w:highlight w:val="none"/>
                <w:lang w:eastAsia="zh-CN"/>
              </w:rPr>
              <w:t>福利，</w:t>
            </w:r>
            <w:r>
              <w:rPr>
                <w:rFonts w:hint="eastAsia" w:ascii="宋体" w:hAnsi="宋体" w:cs="宋体"/>
                <w:bCs/>
                <w:color w:val="auto"/>
                <w:sz w:val="21"/>
                <w:szCs w:val="21"/>
                <w:highlight w:val="none"/>
                <w:lang w:val="en-US" w:eastAsia="zh-CN"/>
              </w:rPr>
              <w:t>人数约224</w:t>
            </w:r>
            <w:r>
              <w:rPr>
                <w:rFonts w:hint="eastAsia" w:ascii="宋体" w:hAnsi="宋体" w:cs="宋体"/>
                <w:bCs/>
                <w:color w:val="auto"/>
                <w:sz w:val="21"/>
                <w:szCs w:val="21"/>
                <w:highlight w:val="none"/>
                <w:lang w:eastAsia="zh-CN"/>
              </w:rPr>
              <w:t>人（暂估，具体按实际数量结算）。</w:t>
            </w:r>
          </w:p>
        </w:tc>
      </w:tr>
    </w:tbl>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6.合同履行期限：合同签订后，按采购人要求供货，3天内完成供货。</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7.本项目是否接受联合体</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：□是  </w:t>
      </w:r>
      <w:r>
        <w:rPr>
          <w:rFonts w:hint="eastAsia" w:ascii="宋体" w:hAnsi="宋体" w:cs="宋体"/>
          <w:b/>
          <w:color w:val="auto"/>
          <w:szCs w:val="21"/>
          <w:highlight w:val="none"/>
        </w:rPr>
        <w:t>■</w:t>
      </w:r>
      <w:r>
        <w:rPr>
          <w:rFonts w:hint="eastAsia" w:ascii="宋体" w:hAnsi="宋体" w:cs="宋体"/>
          <w:color w:val="auto"/>
          <w:szCs w:val="21"/>
          <w:highlight w:val="none"/>
        </w:rPr>
        <w:t>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8.本项目是否接受进口产品</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：□是  </w:t>
      </w:r>
      <w:r>
        <w:rPr>
          <w:rFonts w:hint="eastAsia" w:ascii="宋体" w:hAnsi="宋体" w:cs="宋体"/>
          <w:b/>
          <w:color w:val="auto"/>
          <w:szCs w:val="21"/>
          <w:highlight w:val="none"/>
        </w:rPr>
        <w:t>■</w:t>
      </w:r>
      <w:r>
        <w:rPr>
          <w:rFonts w:hint="eastAsia" w:ascii="宋体" w:hAnsi="宋体" w:cs="宋体"/>
          <w:color w:val="auto"/>
          <w:szCs w:val="21"/>
          <w:highlight w:val="none"/>
        </w:rPr>
        <w:t>否。</w:t>
      </w:r>
    </w:p>
    <w:p>
      <w:pPr>
        <w:pStyle w:val="3"/>
        <w:spacing w:before="0" w:line="360" w:lineRule="auto"/>
        <w:jc w:val="left"/>
        <w:rPr>
          <w:rFonts w:ascii="宋体" w:hAnsi="宋体" w:eastAsia="宋体" w:cs="宋体"/>
          <w:color w:val="auto"/>
          <w:sz w:val="21"/>
          <w:szCs w:val="21"/>
          <w:highlight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二、申请人的资格要求（须同时满足）</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1.满足《中华人民共和国政府采购法》第二十二条规定以及下列情形：</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1.1未被“信用中国”网站（</w:t>
      </w:r>
      <w:r>
        <w:rPr>
          <w:rFonts w:hint="eastAsia" w:ascii="宋体" w:hAnsi="宋体" w:cs="宋体"/>
          <w:color w:val="auto"/>
          <w:szCs w:val="21"/>
          <w:highlight w:val="none"/>
          <w:lang w:val="en-US" w:eastAsia="zh-CN"/>
        </w:rPr>
        <w:t>www</w:t>
      </w:r>
      <w:r>
        <w:rPr>
          <w:rFonts w:hint="eastAsia" w:ascii="宋体" w:hAnsi="宋体" w:cs="宋体"/>
          <w:color w:val="auto"/>
          <w:szCs w:val="21"/>
          <w:highlight w:val="none"/>
        </w:rPr>
        <w:t>.creditchina.gov.cn）或“中国政府采购网”网站（www.ccgp.gov.cn）列入失信被执行人、重大税收违法案件当事人名单、政府采购严重失信行为记录名单；</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1.2单位负责人为同一人或者存在直接控股、管理关系的不同供应商（包含法定代表人为同一个人的两个及两个以上法人，母公司、全资子公司及其控股公司），不得参加同一合同项下的政府采购活动。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 中小企业政策</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本项目不专门面向中小企业预留采购份额。</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□本项目专门面向  □中小 □小微企业  采购。即：提供的货物全部由符合政策要求的中小/小微企业制造、服务全部由符合政策要求的中小/小微企业承接。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 其它落实政府采购政策的资格要求（如有）：</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spacing w:line="360" w:lineRule="auto"/>
        <w:ind w:firstLine="420" w:firstLineChars="200"/>
        <w:rPr>
          <w:rFonts w:ascii="宋体" w:hAnsi="宋体" w:cs="宋体"/>
          <w:i/>
          <w:iCs/>
          <w:color w:val="auto"/>
          <w:szCs w:val="21"/>
          <w:highlight w:val="none"/>
          <w:u w:val="single"/>
        </w:rPr>
      </w:pPr>
      <w:r>
        <w:rPr>
          <w:rFonts w:hint="eastAsia" w:ascii="宋体" w:hAnsi="宋体" w:cs="宋体"/>
          <w:color w:val="auto"/>
          <w:szCs w:val="21"/>
          <w:highlight w:val="none"/>
        </w:rPr>
        <w:t>3.本项目的特定资格要求：</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3.1本项目是否接受分支机构参与</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 xml:space="preserve">：□是   </w:t>
      </w:r>
      <w:r>
        <w:rPr>
          <w:rFonts w:hint="eastAsia" w:ascii="宋体" w:hAnsi="宋体" w:cs="宋体"/>
          <w:b/>
          <w:color w:val="auto"/>
          <w:szCs w:val="21"/>
          <w:highlight w:val="none"/>
        </w:rPr>
        <w:t>■</w:t>
      </w:r>
      <w:r>
        <w:rPr>
          <w:rFonts w:hint="eastAsia" w:ascii="宋体" w:hAnsi="宋体" w:cs="宋体"/>
          <w:color w:val="auto"/>
          <w:szCs w:val="21"/>
          <w:highlight w:val="none"/>
        </w:rPr>
        <w:t>否；</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3.2本项目是否属于政府购买服务：</w:t>
      </w:r>
    </w:p>
    <w:p>
      <w:pPr>
        <w:tabs>
          <w:tab w:val="left" w:pos="900"/>
          <w:tab w:val="left" w:pos="1134"/>
          <w:tab w:val="left" w:pos="1589"/>
          <w:tab w:val="left" w:pos="5521"/>
        </w:tabs>
        <w:snapToGrid w:val="0"/>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否；</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3.3其他特定资格要求：</w:t>
      </w:r>
      <w:r>
        <w:rPr>
          <w:rFonts w:hint="eastAsia" w:ascii="宋体" w:hAnsi="宋体" w:cs="宋体"/>
          <w:color w:val="auto"/>
          <w:szCs w:val="21"/>
          <w:highlight w:val="none"/>
          <w:u w:val="single"/>
        </w:rPr>
        <w:t xml:space="preserve"> </w:t>
      </w:r>
      <w:r>
        <w:rPr>
          <w:rFonts w:hint="eastAsia" w:ascii="宋体" w:hAnsi="宋体" w:eastAsia="宋体" w:cs="宋体"/>
          <w:b/>
          <w:bCs/>
          <w:color w:val="auto"/>
          <w:sz w:val="21"/>
          <w:szCs w:val="21"/>
          <w:highlight w:val="none"/>
          <w:u w:val="single"/>
          <w:lang w:val="en-US" w:eastAsia="zh-CN"/>
        </w:rPr>
        <w:t>具有有效的《食品经营许可证》</w:t>
      </w:r>
      <w:r>
        <w:rPr>
          <w:rFonts w:hint="eastAsia" w:ascii="宋体" w:hAnsi="宋体" w:cs="宋体"/>
          <w:color w:val="auto"/>
          <w:szCs w:val="21"/>
          <w:highlight w:val="none"/>
        </w:rPr>
        <w:t>。</w:t>
      </w:r>
    </w:p>
    <w:p>
      <w:pPr>
        <w:pStyle w:val="3"/>
        <w:widowControl/>
        <w:spacing w:before="0" w:line="360" w:lineRule="auto"/>
        <w:jc w:val="left"/>
        <w:rPr>
          <w:rFonts w:ascii="宋体" w:hAnsi="宋体" w:eastAsia="宋体" w:cs="宋体"/>
          <w:color w:val="auto"/>
          <w:sz w:val="21"/>
          <w:szCs w:val="21"/>
          <w:highlight w:val="none"/>
        </w:rPr>
      </w:pPr>
    </w:p>
    <w:p>
      <w:pPr>
        <w:pStyle w:val="3"/>
        <w:widowControl/>
        <w:spacing w:before="0" w:line="360" w:lineRule="auto"/>
        <w:jc w:val="left"/>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三、获取</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u w:val="none"/>
          <w:lang w:eastAsia="zh-CN"/>
        </w:rPr>
        <w:t>文件</w:t>
      </w:r>
    </w:p>
    <w:p>
      <w:pPr>
        <w:adjustRightInd w:val="0"/>
        <w:snapToGrid w:val="0"/>
        <w:spacing w:line="360" w:lineRule="auto"/>
        <w:ind w:firstLine="420" w:firstLineChars="200"/>
        <w:rPr>
          <w:rFonts w:ascii="宋体" w:hAnsi="宋体" w:cs="宋体"/>
          <w:b w:val="0"/>
          <w:bCs w:val="0"/>
          <w:color w:val="auto"/>
          <w:szCs w:val="21"/>
          <w:highlight w:val="none"/>
          <w:u w:val="none"/>
        </w:rPr>
      </w:pPr>
      <w:r>
        <w:rPr>
          <w:rFonts w:hint="eastAsia" w:ascii="宋体" w:hAnsi="宋体" w:cs="宋体"/>
          <w:b w:val="0"/>
          <w:bCs w:val="0"/>
          <w:color w:val="auto"/>
          <w:szCs w:val="21"/>
          <w:highlight w:val="none"/>
          <w:u w:val="none"/>
        </w:rPr>
        <w:t>1.时间：</w:t>
      </w:r>
      <w:r>
        <w:rPr>
          <w:rFonts w:hint="eastAsia" w:ascii="宋体" w:hAnsi="宋体" w:cs="宋体"/>
          <w:b w:val="0"/>
          <w:bCs w:val="0"/>
          <w:color w:val="auto"/>
          <w:kern w:val="0"/>
          <w:szCs w:val="21"/>
          <w:highlight w:val="none"/>
          <w:u w:val="none"/>
        </w:rPr>
        <w:t>2023年</w:t>
      </w:r>
      <w:r>
        <w:rPr>
          <w:rFonts w:hint="eastAsia" w:ascii="宋体" w:hAnsi="宋体" w:cs="宋体"/>
          <w:b w:val="0"/>
          <w:bCs w:val="0"/>
          <w:color w:val="auto"/>
          <w:kern w:val="0"/>
          <w:szCs w:val="21"/>
          <w:highlight w:val="none"/>
          <w:u w:val="none"/>
          <w:lang w:val="en-US" w:eastAsia="zh-CN"/>
        </w:rPr>
        <w:t>06</w:t>
      </w:r>
      <w:r>
        <w:rPr>
          <w:rFonts w:hint="eastAsia" w:ascii="宋体" w:hAnsi="宋体" w:cs="宋体"/>
          <w:b w:val="0"/>
          <w:bCs w:val="0"/>
          <w:color w:val="auto"/>
          <w:kern w:val="0"/>
          <w:szCs w:val="21"/>
          <w:highlight w:val="none"/>
          <w:u w:val="none"/>
        </w:rPr>
        <w:t>月</w:t>
      </w:r>
      <w:r>
        <w:rPr>
          <w:rFonts w:hint="eastAsia" w:ascii="宋体" w:hAnsi="宋体" w:cs="宋体"/>
          <w:b w:val="0"/>
          <w:bCs w:val="0"/>
          <w:color w:val="auto"/>
          <w:kern w:val="0"/>
          <w:szCs w:val="21"/>
          <w:highlight w:val="none"/>
          <w:u w:val="none"/>
          <w:lang w:val="en-US" w:eastAsia="zh-CN"/>
        </w:rPr>
        <w:t>05</w:t>
      </w:r>
      <w:r>
        <w:rPr>
          <w:rFonts w:hint="eastAsia" w:ascii="宋体" w:hAnsi="宋体" w:cs="宋体"/>
          <w:b w:val="0"/>
          <w:bCs w:val="0"/>
          <w:color w:val="auto"/>
          <w:kern w:val="0"/>
          <w:szCs w:val="21"/>
          <w:highlight w:val="none"/>
          <w:u w:val="none"/>
        </w:rPr>
        <w:t>日至2023年</w:t>
      </w:r>
      <w:r>
        <w:rPr>
          <w:rFonts w:hint="eastAsia" w:ascii="宋体" w:hAnsi="宋体" w:cs="宋体"/>
          <w:b w:val="0"/>
          <w:bCs w:val="0"/>
          <w:color w:val="auto"/>
          <w:kern w:val="0"/>
          <w:szCs w:val="21"/>
          <w:highlight w:val="none"/>
          <w:u w:val="none"/>
          <w:lang w:val="en-US" w:eastAsia="zh-CN"/>
        </w:rPr>
        <w:t>06</w:t>
      </w:r>
      <w:r>
        <w:rPr>
          <w:rFonts w:hint="eastAsia" w:ascii="宋体" w:hAnsi="宋体" w:cs="宋体"/>
          <w:b w:val="0"/>
          <w:bCs w:val="0"/>
          <w:color w:val="auto"/>
          <w:kern w:val="0"/>
          <w:szCs w:val="21"/>
          <w:highlight w:val="none"/>
          <w:u w:val="none"/>
        </w:rPr>
        <w:t>月</w:t>
      </w:r>
      <w:r>
        <w:rPr>
          <w:rFonts w:hint="eastAsia" w:ascii="宋体" w:hAnsi="宋体" w:cs="宋体"/>
          <w:b w:val="0"/>
          <w:bCs w:val="0"/>
          <w:color w:val="auto"/>
          <w:kern w:val="0"/>
          <w:szCs w:val="21"/>
          <w:highlight w:val="none"/>
          <w:u w:val="none"/>
          <w:lang w:val="en-US" w:eastAsia="zh-CN"/>
        </w:rPr>
        <w:t>14</w:t>
      </w:r>
      <w:r>
        <w:rPr>
          <w:rFonts w:hint="eastAsia" w:ascii="宋体" w:hAnsi="宋体" w:cs="宋体"/>
          <w:b w:val="0"/>
          <w:bCs w:val="0"/>
          <w:color w:val="auto"/>
          <w:kern w:val="0"/>
          <w:szCs w:val="21"/>
          <w:highlight w:val="none"/>
          <w:u w:val="none"/>
        </w:rPr>
        <w:t>日</w:t>
      </w:r>
      <w:r>
        <w:rPr>
          <w:rFonts w:hint="eastAsia" w:ascii="宋体" w:hAnsi="宋体" w:cs="宋体"/>
          <w:b w:val="0"/>
          <w:bCs w:val="0"/>
          <w:color w:val="auto"/>
          <w:szCs w:val="21"/>
          <w:highlight w:val="none"/>
          <w:u w:val="none"/>
          <w:lang w:val="en-US" w:eastAsia="zh-CN"/>
        </w:rPr>
        <w:t>14</w:t>
      </w:r>
      <w:r>
        <w:rPr>
          <w:rFonts w:hint="eastAsia" w:ascii="宋体" w:hAnsi="宋体" w:cs="宋体"/>
          <w:b w:val="0"/>
          <w:bCs w:val="0"/>
          <w:color w:val="auto"/>
          <w:szCs w:val="21"/>
          <w:highlight w:val="none"/>
          <w:u w:val="none"/>
        </w:rPr>
        <w:t>点</w:t>
      </w:r>
      <w:r>
        <w:rPr>
          <w:rFonts w:hint="eastAsia" w:ascii="宋体" w:hAnsi="宋体" w:cs="宋体"/>
          <w:b w:val="0"/>
          <w:bCs w:val="0"/>
          <w:color w:val="auto"/>
          <w:szCs w:val="21"/>
          <w:highlight w:val="none"/>
          <w:u w:val="none"/>
          <w:lang w:val="en-US" w:eastAsia="zh-CN"/>
        </w:rPr>
        <w:t>00</w:t>
      </w:r>
      <w:r>
        <w:rPr>
          <w:rFonts w:hint="eastAsia" w:ascii="宋体" w:hAnsi="宋体" w:cs="宋体"/>
          <w:b w:val="0"/>
          <w:bCs w:val="0"/>
          <w:color w:val="auto"/>
          <w:szCs w:val="21"/>
          <w:highlight w:val="none"/>
          <w:u w:val="none"/>
        </w:rPr>
        <w:t>分前。</w:t>
      </w:r>
    </w:p>
    <w:p>
      <w:pPr>
        <w:adjustRightInd w:val="0"/>
        <w:snapToGrid w:val="0"/>
        <w:spacing w:line="360" w:lineRule="auto"/>
        <w:ind w:firstLine="420" w:firstLineChars="200"/>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.方式：本项目无需单独报名，由各供应商自行下载竞争性谈判文件，供应商需按竞争性谈判文件要求编制响应文件。</w:t>
      </w:r>
    </w:p>
    <w:p>
      <w:pPr>
        <w:widowControl/>
        <w:adjustRightInd w:val="0"/>
        <w:snapToGrid w:val="0"/>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.售价：人民币壹佰元整</w:t>
      </w:r>
      <w:r>
        <w:rPr>
          <w:rFonts w:hint="eastAsia" w:ascii="宋体" w:hAnsi="宋体" w:cs="宋体"/>
          <w:b/>
          <w:bCs/>
          <w:color w:val="auto"/>
          <w:szCs w:val="21"/>
          <w:highlight w:val="none"/>
          <w:u w:val="none"/>
        </w:rPr>
        <w:t>（该费用需在响应文件递交前缴纳，否则其响应文件将被拒绝）</w:t>
      </w:r>
      <w:r>
        <w:rPr>
          <w:rFonts w:hint="eastAsia" w:ascii="宋体" w:hAnsi="宋体" w:cs="宋体"/>
          <w:color w:val="auto"/>
          <w:szCs w:val="21"/>
          <w:highlight w:val="none"/>
          <w:u w:val="none"/>
        </w:rPr>
        <w:t>。</w:t>
      </w:r>
    </w:p>
    <w:p>
      <w:pPr>
        <w:pStyle w:val="3"/>
        <w:widowControl/>
        <w:spacing w:before="0" w:line="360" w:lineRule="auto"/>
        <w:jc w:val="left"/>
        <w:rPr>
          <w:rFonts w:ascii="宋体" w:hAnsi="宋体" w:eastAsia="宋体" w:cs="宋体"/>
          <w:color w:val="auto"/>
          <w:sz w:val="21"/>
          <w:szCs w:val="21"/>
          <w:highlight w:val="none"/>
          <w:u w:val="none"/>
        </w:rPr>
      </w:pPr>
    </w:p>
    <w:p>
      <w:pPr>
        <w:pStyle w:val="3"/>
        <w:widowControl/>
        <w:spacing w:before="0" w:line="360" w:lineRule="auto"/>
        <w:jc w:val="left"/>
        <w:rPr>
          <w:rFonts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四、</w:t>
      </w:r>
      <w:r>
        <w:rPr>
          <w:rFonts w:hint="eastAsia" w:ascii="宋体" w:hAnsi="宋体" w:eastAsia="宋体" w:cs="宋体"/>
          <w:color w:val="auto"/>
          <w:sz w:val="21"/>
          <w:szCs w:val="21"/>
          <w:highlight w:val="none"/>
          <w:u w:val="none"/>
          <w:lang w:eastAsia="zh-CN"/>
        </w:rPr>
        <w:t>响应文件</w:t>
      </w:r>
      <w:r>
        <w:rPr>
          <w:rFonts w:hint="eastAsia" w:ascii="宋体" w:hAnsi="宋体" w:eastAsia="宋体" w:cs="宋体"/>
          <w:color w:val="auto"/>
          <w:sz w:val="21"/>
          <w:szCs w:val="21"/>
          <w:highlight w:val="none"/>
          <w:u w:val="none"/>
        </w:rPr>
        <w:t>提交</w:t>
      </w:r>
    </w:p>
    <w:p>
      <w:pPr>
        <w:spacing w:line="360" w:lineRule="auto"/>
        <w:ind w:firstLine="420" w:firstLineChars="200"/>
        <w:rPr>
          <w:rFonts w:ascii="宋体" w:hAnsi="宋体" w:cs="宋体"/>
          <w:bCs/>
          <w:color w:val="auto"/>
          <w:szCs w:val="21"/>
          <w:highlight w:val="none"/>
          <w:u w:val="none"/>
        </w:rPr>
      </w:pPr>
      <w:r>
        <w:rPr>
          <w:rFonts w:hint="eastAsia" w:ascii="宋体" w:hAnsi="宋体" w:cs="宋体"/>
          <w:color w:val="auto"/>
          <w:szCs w:val="21"/>
          <w:highlight w:val="none"/>
          <w:u w:val="none"/>
        </w:rPr>
        <w:t>截止时间：2023年</w:t>
      </w:r>
      <w:r>
        <w:rPr>
          <w:rFonts w:hint="eastAsia" w:ascii="宋体" w:hAnsi="宋体" w:cs="宋体"/>
          <w:color w:val="auto"/>
          <w:szCs w:val="21"/>
          <w:highlight w:val="none"/>
          <w:u w:val="none"/>
          <w:lang w:val="en-US" w:eastAsia="zh-CN"/>
        </w:rPr>
        <w:t>06</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14</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val="en-US" w:eastAsia="zh-CN"/>
        </w:rPr>
        <w:t>14</w:t>
      </w:r>
      <w:r>
        <w:rPr>
          <w:rFonts w:hint="eastAsia" w:ascii="宋体" w:hAnsi="宋体" w:cs="宋体"/>
          <w:color w:val="auto"/>
          <w:szCs w:val="21"/>
          <w:highlight w:val="none"/>
          <w:u w:val="none"/>
        </w:rPr>
        <w:t>点</w:t>
      </w:r>
      <w:r>
        <w:rPr>
          <w:rFonts w:hint="eastAsia" w:ascii="宋体" w:hAnsi="宋体" w:cs="宋体"/>
          <w:color w:val="auto"/>
          <w:szCs w:val="21"/>
          <w:highlight w:val="none"/>
          <w:u w:val="none"/>
          <w:lang w:val="en-US" w:eastAsia="zh-CN"/>
        </w:rPr>
        <w:t>00</w:t>
      </w:r>
      <w:r>
        <w:rPr>
          <w:rFonts w:hint="eastAsia" w:ascii="宋体" w:hAnsi="宋体" w:cs="宋体"/>
          <w:color w:val="auto"/>
          <w:szCs w:val="21"/>
          <w:highlight w:val="none"/>
          <w:u w:val="none"/>
        </w:rPr>
        <w:t>分</w:t>
      </w:r>
      <w:r>
        <w:rPr>
          <w:rFonts w:hint="eastAsia" w:ascii="宋体" w:hAnsi="宋体" w:cs="宋体"/>
          <w:bCs/>
          <w:color w:val="auto"/>
          <w:szCs w:val="21"/>
          <w:highlight w:val="none"/>
          <w:u w:val="none"/>
        </w:rPr>
        <w:t>（北京时间）</w:t>
      </w:r>
      <w:r>
        <w:rPr>
          <w:rFonts w:hint="eastAsia" w:ascii="宋体" w:hAnsi="宋体" w:cs="宋体"/>
          <w:iCs/>
          <w:color w:val="auto"/>
          <w:szCs w:val="21"/>
          <w:highlight w:val="none"/>
          <w:u w:val="none"/>
        </w:rPr>
        <w:t>。</w:t>
      </w:r>
    </w:p>
    <w:p>
      <w:pPr>
        <w:spacing w:line="360" w:lineRule="auto"/>
        <w:ind w:firstLine="420" w:firstLineChars="200"/>
        <w:rPr>
          <w:rFonts w:ascii="宋体" w:hAnsi="宋体" w:cs="宋体"/>
          <w:color w:val="auto"/>
          <w:szCs w:val="21"/>
          <w:highlight w:val="none"/>
          <w:u w:val="none"/>
          <w:lang w:val="zh-TW"/>
        </w:rPr>
      </w:pPr>
      <w:r>
        <w:rPr>
          <w:rFonts w:hint="eastAsia" w:ascii="宋体" w:hAnsi="宋体" w:cs="宋体"/>
          <w:color w:val="auto"/>
          <w:szCs w:val="21"/>
          <w:highlight w:val="none"/>
          <w:u w:val="none"/>
        </w:rPr>
        <w:t>地点：常州青枫招标有限公司（</w:t>
      </w:r>
      <w:r>
        <w:rPr>
          <w:rFonts w:hint="eastAsia" w:ascii="宋体" w:hAnsi="宋体" w:cs="宋体"/>
          <w:color w:val="auto"/>
          <w:szCs w:val="21"/>
          <w:highlight w:val="none"/>
          <w:u w:val="none"/>
          <w:lang w:eastAsia="zh-CN"/>
        </w:rPr>
        <w:t>常州市钟楼区运河路198号博济新博智汇谷5栋202室</w:t>
      </w:r>
      <w:r>
        <w:rPr>
          <w:rFonts w:hint="eastAsia" w:ascii="宋体" w:hAnsi="宋体" w:cs="宋体"/>
          <w:color w:val="auto"/>
          <w:szCs w:val="21"/>
          <w:highlight w:val="none"/>
          <w:u w:val="none"/>
        </w:rPr>
        <w:t>）</w:t>
      </w:r>
      <w:r>
        <w:rPr>
          <w:rFonts w:hint="eastAsia" w:ascii="宋体" w:hAnsi="宋体" w:cs="宋体"/>
          <w:color w:val="auto"/>
          <w:szCs w:val="21"/>
          <w:highlight w:val="none"/>
          <w:u w:val="none"/>
          <w:lang w:val="zh-TW"/>
        </w:rPr>
        <w:t>。</w:t>
      </w:r>
    </w:p>
    <w:p>
      <w:pPr>
        <w:spacing w:line="360" w:lineRule="auto"/>
        <w:ind w:firstLine="420" w:firstLineChars="200"/>
        <w:rPr>
          <w:rFonts w:ascii="宋体" w:hAnsi="宋体" w:cs="宋体"/>
          <w:bCs/>
          <w:color w:val="auto"/>
          <w:szCs w:val="21"/>
          <w:highlight w:val="none"/>
          <w:u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五、公告期限</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w:t>
      </w:r>
    </w:p>
    <w:p>
      <w:pPr>
        <w:pStyle w:val="3"/>
        <w:spacing w:before="0" w:line="360" w:lineRule="auto"/>
        <w:jc w:val="left"/>
        <w:rPr>
          <w:rFonts w:ascii="宋体" w:hAnsi="宋体" w:eastAsia="宋体" w:cs="宋体"/>
          <w:color w:val="auto"/>
          <w:sz w:val="21"/>
          <w:szCs w:val="21"/>
          <w:highlight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六、其他补充事宜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1.本项目需要落实的政府采购政策：</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color w:val="auto"/>
          <w:szCs w:val="21"/>
          <w:highlight w:val="none"/>
          <w:lang w:val="zh-TW"/>
        </w:rPr>
      </w:pPr>
      <w:r>
        <w:rPr>
          <w:rFonts w:hint="eastAsia" w:ascii="宋体" w:hAnsi="宋体" w:cs="宋体"/>
          <w:color w:val="auto"/>
          <w:szCs w:val="21"/>
          <w:highlight w:val="none"/>
        </w:rPr>
        <w:t>2</w:t>
      </w:r>
      <w:r>
        <w:rPr>
          <w:rFonts w:hint="eastAsia" w:ascii="宋体" w:hAnsi="宋体" w:cs="宋体"/>
          <w:color w:val="auto"/>
          <w:szCs w:val="21"/>
          <w:highlight w:val="none"/>
          <w:lang w:val="zh-TW"/>
        </w:rPr>
        <w:t>.本项目不收取保证金。</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w:t>
      </w:r>
      <w:r>
        <w:rPr>
          <w:rFonts w:hint="eastAsia" w:ascii="宋体" w:hAnsi="宋体" w:cs="宋体"/>
          <w:b/>
          <w:bCs/>
          <w:color w:val="auto"/>
          <w:szCs w:val="21"/>
          <w:highlight w:val="none"/>
          <w:lang w:eastAsia="zh-CN"/>
        </w:rPr>
        <w:t>谈判文件</w:t>
      </w:r>
      <w:r>
        <w:rPr>
          <w:rFonts w:hint="eastAsia" w:ascii="宋体" w:hAnsi="宋体" w:cs="宋体"/>
          <w:b/>
          <w:bCs/>
          <w:color w:val="auto"/>
          <w:szCs w:val="21"/>
          <w:highlight w:val="none"/>
        </w:rPr>
        <w:t>售后一概不退。</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递交的</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概不退还。一经领购</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名称不接受修改。</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4.本项目资格后审。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5.公告发布媒体：</w:t>
      </w:r>
      <w:r>
        <w:rPr>
          <w:rFonts w:hint="eastAsia" w:ascii="宋体" w:hAnsi="宋体" w:cs="宋体"/>
          <w:color w:val="auto"/>
          <w:szCs w:val="21"/>
          <w:highlight w:val="none"/>
          <w:lang w:eastAsia="zh-CN"/>
        </w:rPr>
        <w:t>中国政府采购网</w:t>
      </w:r>
      <w:r>
        <w:rPr>
          <w:rFonts w:hint="eastAsia" w:ascii="宋体" w:hAnsi="宋体" w:cs="宋体"/>
          <w:color w:val="auto"/>
          <w:szCs w:val="21"/>
          <w:highlight w:val="none"/>
        </w:rPr>
        <w:t>、常州青枫招标有限公司网站</w:t>
      </w:r>
    </w:p>
    <w:p>
      <w:pPr>
        <w:spacing w:line="360" w:lineRule="auto"/>
        <w:ind w:firstLine="422" w:firstLineChars="200"/>
        <w:rPr>
          <w:rFonts w:ascii="宋体" w:hAnsi="宋体" w:cs="宋体"/>
          <w:b/>
          <w:bCs/>
          <w:color w:val="auto"/>
          <w:szCs w:val="21"/>
          <w:highlight w:val="none"/>
          <w:lang w:val="zh-TW"/>
        </w:rPr>
      </w:pPr>
      <w:r>
        <w:rPr>
          <w:rFonts w:hint="eastAsia" w:ascii="宋体" w:hAnsi="宋体" w:cs="宋体"/>
          <w:b/>
          <w:bCs/>
          <w:color w:val="auto"/>
          <w:szCs w:val="21"/>
          <w:highlight w:val="none"/>
        </w:rPr>
        <w:t>6</w:t>
      </w:r>
      <w:r>
        <w:rPr>
          <w:rFonts w:hint="eastAsia" w:ascii="宋体" w:hAnsi="宋体" w:cs="宋体"/>
          <w:b/>
          <w:bCs/>
          <w:color w:val="auto"/>
          <w:szCs w:val="21"/>
          <w:highlight w:val="none"/>
          <w:lang w:val="zh-TW"/>
        </w:rPr>
        <w:t>.关于常州市中小企业政府采购信用融资</w:t>
      </w:r>
    </w:p>
    <w:p>
      <w:pPr>
        <w:spacing w:line="360" w:lineRule="auto"/>
        <w:ind w:firstLine="420" w:firstLineChars="200"/>
        <w:rPr>
          <w:rFonts w:ascii="宋体" w:hAnsi="宋体" w:cs="宋体"/>
          <w:color w:val="auto"/>
          <w:szCs w:val="21"/>
          <w:highlight w:val="none"/>
          <w:lang w:val="zh-TW"/>
        </w:rPr>
      </w:pPr>
      <w:r>
        <w:rPr>
          <w:rFonts w:hint="eastAsia" w:ascii="宋体" w:hAnsi="宋体" w:cs="宋体"/>
          <w:color w:val="auto"/>
          <w:szCs w:val="21"/>
          <w:highlight w:val="none"/>
          <w:lang w:val="zh-TW"/>
        </w:rPr>
        <w:t>根据《常州市财政局中国人民银行常州市中心支行关于进一步推进政府采购信用融资工作的通知》（常财购〔2021〕13号）等有关文件精神，我市实行政府采购信用融资，将信用作为政策工具引入政府采购领域，金融机构根据政府采购项目中标（成交）通知书或中标（成交）合同，为中标（成交）中小企业供应商提供相应额度贷款的融资模式。申请条件及操作流程等事项详见该文件相关内容或者</w:t>
      </w:r>
      <w:r>
        <w:rPr>
          <w:rFonts w:hint="eastAsia" w:ascii="宋体" w:hAnsi="宋体" w:cs="宋体"/>
          <w:color w:val="auto"/>
          <w:szCs w:val="21"/>
          <w:highlight w:val="none"/>
          <w:lang w:val="zh-TW" w:eastAsia="zh-CN"/>
        </w:rPr>
        <w:t>中国政府采购网</w:t>
      </w:r>
      <w:r>
        <w:rPr>
          <w:rFonts w:hint="eastAsia" w:ascii="宋体" w:hAnsi="宋体" w:cs="宋体"/>
          <w:color w:val="auto"/>
          <w:szCs w:val="21"/>
          <w:highlight w:val="none"/>
          <w:lang w:val="zh-TW"/>
        </w:rPr>
        <w:t>--政采融资平台栏目。</w:t>
      </w:r>
    </w:p>
    <w:p>
      <w:pPr>
        <w:pStyle w:val="3"/>
        <w:spacing w:before="0" w:line="360" w:lineRule="auto"/>
        <w:jc w:val="left"/>
        <w:rPr>
          <w:rFonts w:ascii="宋体" w:hAnsi="宋体" w:eastAsia="宋体" w:cs="宋体"/>
          <w:color w:val="auto"/>
          <w:sz w:val="21"/>
          <w:szCs w:val="21"/>
          <w:highlight w:val="none"/>
        </w:rPr>
      </w:pPr>
    </w:p>
    <w:p>
      <w:pPr>
        <w:pStyle w:val="3"/>
        <w:spacing w:before="0" w:line="360" w:lineRule="auto"/>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七、对本次招标提出询问，请按以下方式联系。</w:t>
      </w:r>
    </w:p>
    <w:p>
      <w:pPr>
        <w:widowControl/>
        <w:spacing w:line="360" w:lineRule="auto"/>
        <w:ind w:firstLine="422" w:firstLineChars="200"/>
        <w:jc w:val="left"/>
        <w:rPr>
          <w:rFonts w:ascii="宋体" w:hAnsi="宋体" w:cs="宋体"/>
          <w:b/>
          <w:color w:val="auto"/>
          <w:szCs w:val="21"/>
          <w:highlight w:val="none"/>
          <w:u w:val="none"/>
        </w:rPr>
      </w:pPr>
      <w:r>
        <w:rPr>
          <w:rFonts w:hint="eastAsia" w:ascii="宋体" w:hAnsi="宋体" w:cs="宋体"/>
          <w:b/>
          <w:color w:val="auto"/>
          <w:szCs w:val="21"/>
          <w:highlight w:val="none"/>
          <w:u w:val="none"/>
        </w:rPr>
        <w:t>1.采购人信息</w:t>
      </w:r>
    </w:p>
    <w:p>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名    称：</w:t>
      </w:r>
      <w:r>
        <w:rPr>
          <w:rFonts w:hint="eastAsia" w:ascii="宋体" w:hAnsi="宋体" w:cs="宋体"/>
          <w:color w:val="auto"/>
          <w:szCs w:val="21"/>
          <w:highlight w:val="none"/>
          <w:u w:val="none"/>
          <w:lang w:eastAsia="zh-CN"/>
        </w:rPr>
        <w:t>常州市新北区消防救援大队</w:t>
      </w:r>
    </w:p>
    <w:p>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val="zh-CN"/>
        </w:rPr>
        <w:t>常州市新北区泰山路197号</w:t>
      </w:r>
    </w:p>
    <w:p>
      <w:pPr>
        <w:spacing w:line="360" w:lineRule="auto"/>
        <w:ind w:firstLine="420" w:firstLineChars="200"/>
        <w:jc w:val="left"/>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rPr>
        <w:t>联系方式：</w:t>
      </w:r>
      <w:r>
        <w:rPr>
          <w:rFonts w:hint="eastAsia" w:ascii="宋体" w:hAnsi="宋体" w:cs="宋体"/>
          <w:color w:val="auto"/>
          <w:szCs w:val="21"/>
          <w:highlight w:val="none"/>
          <w:u w:val="none"/>
          <w:lang w:val="en-US" w:eastAsia="zh-CN"/>
        </w:rPr>
        <w:t>姜先生13382828119</w:t>
      </w:r>
    </w:p>
    <w:p>
      <w:pPr>
        <w:spacing w:line="360" w:lineRule="auto"/>
        <w:ind w:firstLine="422" w:firstLineChars="200"/>
        <w:jc w:val="left"/>
        <w:rPr>
          <w:rFonts w:ascii="宋体" w:hAnsi="宋体" w:cs="宋体"/>
          <w:b/>
          <w:color w:val="auto"/>
          <w:szCs w:val="21"/>
          <w:highlight w:val="none"/>
          <w:u w:val="none"/>
        </w:rPr>
      </w:pPr>
      <w:r>
        <w:rPr>
          <w:rFonts w:hint="eastAsia" w:ascii="宋体" w:hAnsi="宋体" w:cs="宋体"/>
          <w:b/>
          <w:color w:val="auto"/>
          <w:szCs w:val="21"/>
          <w:highlight w:val="none"/>
          <w:u w:val="none"/>
        </w:rPr>
        <w:t>2.采购代理机构信息</w:t>
      </w:r>
    </w:p>
    <w:p>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名    称：常州青枫招标有限公司</w:t>
      </w:r>
    </w:p>
    <w:p>
      <w:pPr>
        <w:spacing w:line="360" w:lineRule="auto"/>
        <w:ind w:firstLine="420" w:firstLineChars="200"/>
        <w:jc w:val="left"/>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地    址：</w:t>
      </w:r>
      <w:r>
        <w:rPr>
          <w:rFonts w:hint="eastAsia" w:ascii="宋体" w:hAnsi="宋体" w:cs="宋体"/>
          <w:color w:val="auto"/>
          <w:szCs w:val="21"/>
          <w:highlight w:val="none"/>
          <w:u w:val="none"/>
          <w:lang w:eastAsia="zh-CN"/>
        </w:rPr>
        <w:t>常州市钟楼区运河路198号博济新博智汇谷5栋202室</w:t>
      </w:r>
    </w:p>
    <w:p>
      <w:pPr>
        <w:spacing w:line="360" w:lineRule="auto"/>
        <w:ind w:firstLine="420" w:firstLineChars="200"/>
        <w:jc w:val="left"/>
        <w:rPr>
          <w:rFonts w:ascii="宋体" w:hAnsi="宋体" w:cs="宋体"/>
          <w:color w:val="auto"/>
          <w:szCs w:val="21"/>
          <w:highlight w:val="none"/>
          <w:u w:val="none"/>
        </w:rPr>
      </w:pPr>
      <w:r>
        <w:rPr>
          <w:rFonts w:hint="eastAsia" w:ascii="宋体" w:hAnsi="宋体" w:cs="宋体"/>
          <w:color w:val="auto"/>
          <w:szCs w:val="21"/>
          <w:highlight w:val="none"/>
          <w:u w:val="none"/>
        </w:rPr>
        <w:t>联系方式：</w:t>
      </w:r>
      <w:r>
        <w:rPr>
          <w:rFonts w:hint="eastAsia" w:ascii="宋体" w:hAnsi="宋体" w:cs="宋体"/>
          <w:color w:val="auto"/>
          <w:szCs w:val="21"/>
          <w:highlight w:val="none"/>
          <w:u w:val="none"/>
          <w:lang w:val="en-US" w:eastAsia="zh-CN"/>
        </w:rPr>
        <w:t xml:space="preserve">王工 </w:t>
      </w:r>
      <w:r>
        <w:rPr>
          <w:rFonts w:hint="eastAsia" w:ascii="宋体" w:hAnsi="宋体" w:cs="宋体"/>
          <w:color w:val="auto"/>
          <w:szCs w:val="21"/>
          <w:highlight w:val="none"/>
          <w:u w:val="none"/>
        </w:rPr>
        <w:t>0519-88119558</w:t>
      </w:r>
    </w:p>
    <w:p>
      <w:pPr>
        <w:spacing w:line="360" w:lineRule="auto"/>
        <w:ind w:firstLine="422" w:firstLineChars="200"/>
        <w:rPr>
          <w:rFonts w:ascii="宋体" w:hAnsi="宋体" w:cs="宋体"/>
          <w:b/>
          <w:color w:val="auto"/>
          <w:szCs w:val="21"/>
          <w:highlight w:val="none"/>
          <w:u w:val="none"/>
        </w:rPr>
      </w:pPr>
      <w:r>
        <w:rPr>
          <w:rFonts w:hint="eastAsia" w:ascii="宋体" w:hAnsi="宋体" w:cs="宋体"/>
          <w:b/>
          <w:color w:val="auto"/>
          <w:szCs w:val="21"/>
          <w:highlight w:val="none"/>
          <w:u w:val="none"/>
        </w:rPr>
        <w:t>3.项目联系方式</w:t>
      </w:r>
    </w:p>
    <w:p>
      <w:pPr>
        <w:pStyle w:val="12"/>
        <w:spacing w:line="360" w:lineRule="auto"/>
        <w:ind w:firstLine="420" w:firstLineChars="200"/>
        <w:rPr>
          <w:rFonts w:hint="eastAsia" w:hAnsi="宋体" w:eastAsia="宋体" w:cs="宋体"/>
          <w:color w:val="auto"/>
          <w:szCs w:val="21"/>
          <w:highlight w:val="none"/>
          <w:u w:val="none"/>
          <w:lang w:val="en-US" w:eastAsia="zh-CN"/>
        </w:rPr>
      </w:pPr>
      <w:r>
        <w:rPr>
          <w:rFonts w:hAnsi="宋体" w:cs="宋体"/>
          <w:color w:val="auto"/>
          <w:szCs w:val="21"/>
          <w:highlight w:val="none"/>
          <w:u w:val="none"/>
        </w:rPr>
        <w:t>项目联系人：</w:t>
      </w:r>
      <w:r>
        <w:rPr>
          <w:rFonts w:hint="eastAsia" w:hAnsi="宋体" w:cs="宋体"/>
          <w:color w:val="auto"/>
          <w:szCs w:val="21"/>
          <w:highlight w:val="none"/>
          <w:u w:val="none"/>
          <w:lang w:val="en-US" w:eastAsia="zh-CN"/>
        </w:rPr>
        <w:t>王工</w:t>
      </w:r>
    </w:p>
    <w:p>
      <w:pPr>
        <w:pStyle w:val="12"/>
        <w:spacing w:line="360" w:lineRule="auto"/>
        <w:ind w:firstLine="420" w:firstLineChars="200"/>
        <w:rPr>
          <w:rFonts w:hint="default" w:hAnsi="宋体" w:cs="宋体"/>
          <w:color w:val="auto"/>
          <w:szCs w:val="21"/>
          <w:highlight w:val="none"/>
          <w:u w:val="none"/>
        </w:rPr>
      </w:pPr>
      <w:r>
        <w:rPr>
          <w:rFonts w:hAnsi="宋体" w:cs="宋体"/>
          <w:color w:val="auto"/>
          <w:szCs w:val="21"/>
          <w:highlight w:val="none"/>
          <w:u w:val="none"/>
        </w:rPr>
        <w:t>电      话：0519-88119558</w:t>
      </w:r>
    </w:p>
    <w:p>
      <w:pPr>
        <w:spacing w:line="360" w:lineRule="auto"/>
        <w:ind w:firstLine="5880" w:firstLineChars="2450"/>
        <w:jc w:val="right"/>
        <w:rPr>
          <w:rFonts w:ascii="宋体" w:hAnsi="宋体" w:cs="宋体"/>
          <w:color w:val="auto"/>
          <w:sz w:val="24"/>
          <w:highlight w:val="none"/>
        </w:rPr>
      </w:pPr>
    </w:p>
    <w:p>
      <w:pPr>
        <w:spacing w:line="360" w:lineRule="auto"/>
        <w:jc w:val="center"/>
        <w:outlineLvl w:val="0"/>
        <w:rPr>
          <w:rFonts w:ascii="宋体" w:hAnsi="宋体" w:cs="宋体"/>
          <w:b/>
          <w:color w:val="auto"/>
          <w:sz w:val="32"/>
          <w:szCs w:val="32"/>
          <w:highlight w:val="none"/>
        </w:rPr>
      </w:pPr>
      <w:r>
        <w:rPr>
          <w:rFonts w:hint="eastAsia" w:ascii="宋体" w:hAnsi="宋体" w:cs="宋体"/>
          <w:color w:val="auto"/>
          <w:sz w:val="24"/>
          <w:highlight w:val="none"/>
        </w:rPr>
        <w:br w:type="page"/>
      </w:r>
      <w:bookmarkStart w:id="2" w:name="_Toc24920"/>
      <w:r>
        <w:rPr>
          <w:rFonts w:hint="eastAsia" w:ascii="宋体" w:hAnsi="宋体" w:cs="宋体"/>
          <w:b/>
          <w:color w:val="auto"/>
          <w:sz w:val="32"/>
          <w:szCs w:val="32"/>
          <w:highlight w:val="none"/>
        </w:rPr>
        <w:t xml:space="preserve">第二章   </w:t>
      </w:r>
      <w:r>
        <w:rPr>
          <w:rFonts w:hint="eastAsia" w:ascii="宋体" w:hAnsi="宋体" w:cs="宋体"/>
          <w:b/>
          <w:color w:val="auto"/>
          <w:sz w:val="32"/>
          <w:szCs w:val="32"/>
          <w:highlight w:val="none"/>
          <w:lang w:eastAsia="zh-CN"/>
        </w:rPr>
        <w:t>供应商</w:t>
      </w:r>
      <w:r>
        <w:rPr>
          <w:rFonts w:hint="eastAsia" w:ascii="宋体" w:hAnsi="宋体" w:cs="宋体"/>
          <w:b/>
          <w:color w:val="auto"/>
          <w:sz w:val="32"/>
          <w:szCs w:val="32"/>
          <w:highlight w:val="none"/>
        </w:rPr>
        <w:t>须知</w:t>
      </w:r>
      <w:bookmarkEnd w:id="2"/>
    </w:p>
    <w:p>
      <w:pPr>
        <w:tabs>
          <w:tab w:val="center" w:pos="4592"/>
          <w:tab w:val="left" w:pos="7860"/>
        </w:tabs>
        <w:spacing w:before="0" w:line="360" w:lineRule="auto"/>
        <w:outlineLvl w:val="9"/>
        <w:rPr>
          <w:rFonts w:ascii="宋体" w:hAnsi="宋体" w:eastAsia="宋体" w:cs="宋体"/>
          <w:color w:val="auto"/>
          <w:sz w:val="28"/>
          <w:highlight w:val="none"/>
        </w:rPr>
      </w:pPr>
      <w:r>
        <w:rPr>
          <w:rFonts w:hint="eastAsia" w:ascii="宋体" w:hAnsi="宋体" w:eastAsia="宋体" w:cs="宋体"/>
          <w:color w:val="auto"/>
          <w:sz w:val="28"/>
          <w:highlight w:val="none"/>
          <w:lang w:eastAsia="zh-CN"/>
        </w:rPr>
        <w:t>供应商</w:t>
      </w:r>
      <w:r>
        <w:rPr>
          <w:rFonts w:hint="eastAsia" w:ascii="宋体" w:hAnsi="宋体" w:eastAsia="宋体" w:cs="宋体"/>
          <w:color w:val="auto"/>
          <w:sz w:val="28"/>
          <w:highlight w:val="none"/>
        </w:rPr>
        <w:t>须知资料表</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本表是对</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须知的具体补充和修改，如有矛盾，均以本资料表为准。</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标记“</w:t>
      </w:r>
      <w:r>
        <w:rPr>
          <w:rFonts w:hint="eastAsia" w:ascii="宋体" w:hAnsi="宋体" w:cs="宋体"/>
          <w:b/>
          <w:color w:val="auto"/>
          <w:szCs w:val="21"/>
          <w:highlight w:val="none"/>
        </w:rPr>
        <w:t>■</w:t>
      </w:r>
      <w:r>
        <w:rPr>
          <w:rFonts w:hint="eastAsia" w:ascii="宋体" w:hAnsi="宋体" w:cs="宋体"/>
          <w:color w:val="auto"/>
          <w:szCs w:val="21"/>
          <w:highlight w:val="none"/>
        </w:rPr>
        <w:t>”的选项意为适用于本项目，标记“□”的选项意为不适用于本项目。</w:t>
      </w:r>
    </w:p>
    <w:tbl>
      <w:tblPr>
        <w:tblStyle w:val="17"/>
        <w:tblW w:w="10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条款号</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条目</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科研仪器设备</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是否属于科研仪器设备采购项目：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3.2.5</w:t>
            </w:r>
          </w:p>
        </w:tc>
        <w:tc>
          <w:tcPr>
            <w:tcW w:w="1701"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标的所属行业</w:t>
            </w:r>
          </w:p>
        </w:tc>
        <w:tc>
          <w:tcPr>
            <w:tcW w:w="7519"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rPr>
              <w:t>本项目采购标的对应的中小企业划分标准所属行业：</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b/>
                <w:bCs/>
                <w:color w:val="auto"/>
                <w:sz w:val="21"/>
                <w:szCs w:val="21"/>
                <w:highlight w:val="none"/>
                <w:u w:val="single"/>
                <w:lang w:val="en-US" w:eastAsia="zh-CN"/>
              </w:rPr>
              <w:t>批发和零售业</w:t>
            </w:r>
            <w:r>
              <w:rPr>
                <w:rFonts w:hint="eastAsia" w:ascii="宋体" w:hAnsi="宋体" w:eastAsia="宋体" w:cs="宋体"/>
                <w:b/>
                <w:bCs/>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.2</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报价的特殊规定：</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有，具体情形：</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本项目实行固定综合上浮率，供应商响应时需按上浮比例的形式报价</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响应有效期</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自提交</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的截止之日起算</w:t>
            </w:r>
            <w:r>
              <w:rPr>
                <w:rFonts w:hint="eastAsia" w:ascii="宋体" w:hAnsi="宋体" w:eastAsia="宋体" w:cs="宋体"/>
                <w:b/>
                <w:bCs/>
                <w:color w:val="auto"/>
                <w:sz w:val="21"/>
                <w:szCs w:val="21"/>
                <w:highlight w:val="none"/>
                <w:u w:val="single"/>
              </w:rPr>
              <w:t xml:space="preserve"> 60 </w:t>
            </w:r>
            <w:r>
              <w:rPr>
                <w:rFonts w:hint="eastAsia" w:ascii="宋体" w:hAnsi="宋体" w:eastAsia="宋体" w:cs="宋体"/>
                <w:color w:val="auto"/>
                <w:sz w:val="21"/>
                <w:szCs w:val="21"/>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的提交</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应提交</w:t>
            </w:r>
            <w:r>
              <w:rPr>
                <w:rFonts w:hint="eastAsia" w:ascii="宋体" w:hAnsi="宋体" w:eastAsia="宋体" w:cs="宋体"/>
                <w:b/>
                <w:bCs/>
                <w:color w:val="auto"/>
                <w:sz w:val="21"/>
                <w:szCs w:val="21"/>
                <w:highlight w:val="none"/>
              </w:rPr>
              <w:t>装订</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响应文件</w:t>
            </w:r>
            <w:r>
              <w:rPr>
                <w:rFonts w:hint="eastAsia" w:ascii="宋体" w:hAnsi="宋体" w:eastAsia="宋体" w:cs="宋体"/>
                <w:b/>
                <w:bCs/>
                <w:color w:val="auto"/>
                <w:sz w:val="21"/>
                <w:szCs w:val="21"/>
                <w:highlight w:val="none"/>
              </w:rPr>
              <w:t>壹份“正本”和贰份“副本”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正本和副本如有不一致之处，以正本为准。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5</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分包</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本项目的非主体、非关键性工作是否允许分包：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rPr>
              <w:t>不允许</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□允许，具体要求：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（1）可以分包履行的具体内容：</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（2）允许分包的金额或者比例：</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（3）其他要求：</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z w:val="21"/>
                <w:szCs w:val="21"/>
                <w:highlight w:val="none"/>
                <w:u w:val="single"/>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.1.1</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b/>
                <w:bCs/>
                <w:color w:val="auto"/>
                <w:sz w:val="21"/>
                <w:szCs w:val="21"/>
                <w:highlight w:val="none"/>
                <w:u w:val="single"/>
              </w:rPr>
            </w:pPr>
            <w:r>
              <w:rPr>
                <w:rFonts w:hint="eastAsia" w:ascii="宋体" w:hAnsi="宋体" w:eastAsia="宋体" w:cs="宋体"/>
                <w:color w:val="auto"/>
                <w:sz w:val="21"/>
                <w:szCs w:val="21"/>
                <w:highlight w:val="none"/>
              </w:rPr>
              <w:t>询问送达形式：</w:t>
            </w:r>
            <w:r>
              <w:rPr>
                <w:rFonts w:hint="eastAsia" w:ascii="宋体" w:hAnsi="宋体" w:eastAsia="宋体" w:cs="宋体"/>
                <w:color w:val="auto"/>
                <w:sz w:val="21"/>
                <w:szCs w:val="21"/>
                <w:highlight w:val="none"/>
                <w:u w:val="single"/>
              </w:rPr>
              <w:t xml:space="preserve"> 书面原件形式递交。（注：询问函：① 必须加盖</w:t>
            </w:r>
            <w:r>
              <w:rPr>
                <w:rFonts w:hint="eastAsia" w:ascii="宋体" w:hAnsi="宋体" w:eastAsia="宋体" w:cs="宋体"/>
                <w:color w:val="auto"/>
                <w:sz w:val="21"/>
                <w:szCs w:val="21"/>
                <w:highlight w:val="none"/>
                <w:u w:val="single"/>
                <w:lang w:eastAsia="zh-CN"/>
              </w:rPr>
              <w:t>供应商</w:t>
            </w:r>
            <w:r>
              <w:rPr>
                <w:rFonts w:hint="eastAsia" w:ascii="宋体" w:hAnsi="宋体" w:eastAsia="宋体" w:cs="宋体"/>
                <w:color w:val="auto"/>
                <w:sz w:val="21"/>
                <w:szCs w:val="21"/>
                <w:highlight w:val="none"/>
                <w:u w:val="single"/>
              </w:rPr>
              <w:t>公章；② 以采购代理机构收到时间为准。否则采购代理机构有权拒收其询问函）</w:t>
            </w:r>
            <w:r>
              <w:rPr>
                <w:rFonts w:hint="eastAsia" w:ascii="宋体" w:hAnsi="宋体" w:eastAsia="宋体" w:cs="宋体"/>
                <w:b/>
                <w:bCs/>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询问时间：</w:t>
            </w:r>
            <w:r>
              <w:rPr>
                <w:rFonts w:hint="eastAsia" w:ascii="宋体" w:hAnsi="宋体" w:eastAsia="宋体" w:cs="宋体"/>
                <w:color w:val="auto"/>
                <w:sz w:val="21"/>
                <w:szCs w:val="21"/>
                <w:highlight w:val="none"/>
                <w:u w:val="single"/>
              </w:rPr>
              <w:t>2023年</w:t>
            </w:r>
            <w:r>
              <w:rPr>
                <w:rFonts w:hint="eastAsia" w:ascii="宋体" w:hAnsi="宋体" w:cs="宋体"/>
                <w:color w:val="auto"/>
                <w:sz w:val="21"/>
                <w:szCs w:val="21"/>
                <w:highlight w:val="none"/>
                <w:u w:val="single"/>
                <w:lang w:val="en-US" w:eastAsia="zh-CN"/>
              </w:rPr>
              <w:t>06</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rPr>
              <w:t>日11:30前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23.3</w:t>
            </w:r>
          </w:p>
        </w:tc>
        <w:tc>
          <w:tcPr>
            <w:tcW w:w="170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联系方式</w:t>
            </w:r>
          </w:p>
        </w:tc>
        <w:tc>
          <w:tcPr>
            <w:tcW w:w="751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接收询问和质疑的联系方式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联系部门：</w:t>
            </w:r>
            <w:r>
              <w:rPr>
                <w:rFonts w:hint="eastAsia" w:ascii="宋体" w:hAnsi="宋体" w:eastAsia="宋体" w:cs="宋体"/>
                <w:color w:val="auto"/>
                <w:sz w:val="21"/>
                <w:szCs w:val="21"/>
                <w:highlight w:val="none"/>
                <w:u w:val="single"/>
              </w:rPr>
              <w:t>常州市青枫招标有限公司、</w:t>
            </w:r>
            <w:r>
              <w:rPr>
                <w:rFonts w:hint="eastAsia" w:ascii="宋体" w:hAnsi="宋体" w:eastAsia="宋体" w:cs="宋体"/>
                <w:color w:val="auto"/>
                <w:sz w:val="21"/>
                <w:szCs w:val="21"/>
                <w:highlight w:val="none"/>
                <w:u w:val="single"/>
                <w:lang w:eastAsia="zh-CN"/>
              </w:rPr>
              <w:t>常州市新北区消防救援大队</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r>
              <w:rPr>
                <w:rFonts w:hint="eastAsia" w:ascii="宋体" w:hAnsi="宋体" w:eastAsia="宋体" w:cs="宋体"/>
                <w:color w:val="auto"/>
                <w:sz w:val="21"/>
                <w:szCs w:val="21"/>
                <w:highlight w:val="none"/>
                <w:u w:val="single"/>
              </w:rPr>
              <w:t>0519-88119558、</w:t>
            </w:r>
            <w:r>
              <w:rPr>
                <w:rFonts w:hint="eastAsia" w:ascii="宋体" w:hAnsi="宋体" w:eastAsia="宋体" w:cs="宋体"/>
                <w:color w:val="auto"/>
                <w:sz w:val="21"/>
                <w:szCs w:val="21"/>
                <w:highlight w:val="none"/>
                <w:u w:val="single"/>
                <w:lang w:val="en-US" w:eastAsia="zh-CN"/>
              </w:rPr>
              <w:t>13382828119</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r>
              <w:rPr>
                <w:rFonts w:hint="eastAsia" w:ascii="宋体" w:hAnsi="宋体" w:eastAsia="宋体" w:cs="宋体"/>
                <w:color w:val="auto"/>
                <w:sz w:val="21"/>
                <w:szCs w:val="21"/>
                <w:highlight w:val="none"/>
                <w:u w:val="single"/>
                <w:lang w:eastAsia="zh-CN"/>
              </w:rPr>
              <w:t>常州市钟楼区运河路198号博济新博智汇谷5栋202室</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zh-CN"/>
              </w:rPr>
              <w:t>常州市新北区泰山路197号</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24.1</w:t>
            </w:r>
          </w:p>
        </w:tc>
        <w:tc>
          <w:tcPr>
            <w:tcW w:w="17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代理费</w:t>
            </w:r>
          </w:p>
        </w:tc>
        <w:tc>
          <w:tcPr>
            <w:tcW w:w="75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收费对象：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b/>
                <w:color w:val="auto"/>
                <w:sz w:val="21"/>
                <w:szCs w:val="21"/>
                <w:highlight w:val="none"/>
              </w:rPr>
              <w:t>■</w:t>
            </w:r>
            <w:r>
              <w:rPr>
                <w:rFonts w:hint="eastAsia" w:ascii="宋体" w:hAnsi="宋体" w:eastAsia="宋体" w:cs="宋体"/>
                <w:color w:val="auto"/>
                <w:sz w:val="21"/>
                <w:szCs w:val="21"/>
                <w:highlight w:val="none"/>
                <w:lang w:eastAsia="zh-CN"/>
              </w:rPr>
              <w:t>成交供应商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收费标准：</w:t>
            </w:r>
            <w:r>
              <w:rPr>
                <w:rFonts w:hint="eastAsia" w:ascii="宋体" w:hAnsi="宋体" w:eastAsia="宋体" w:cs="宋体"/>
                <w:color w:val="auto"/>
                <w:sz w:val="21"/>
                <w:szCs w:val="21"/>
                <w:highlight w:val="none"/>
                <w:u w:val="single"/>
                <w:lang w:val="en-US" w:eastAsia="zh-CN"/>
              </w:rPr>
              <w:t>以中标金额为基数，收费按差额定率累进法计算，100万元(含)以下按</w:t>
            </w:r>
            <w:r>
              <w:rPr>
                <w:rFonts w:hint="eastAsia" w:ascii="宋体" w:hAnsi="宋体" w:eastAsia="宋体" w:cs="宋体"/>
                <w:color w:val="auto"/>
                <w:sz w:val="21"/>
                <w:szCs w:val="21"/>
                <w:highlight w:val="none"/>
                <w:u w:val="single"/>
              </w:rPr>
              <w:t>1.5%*0.8</w:t>
            </w:r>
            <w:r>
              <w:rPr>
                <w:rFonts w:hint="eastAsia" w:ascii="宋体" w:hAnsi="宋体" w:eastAsia="宋体" w:cs="宋体"/>
                <w:color w:val="auto"/>
                <w:sz w:val="21"/>
                <w:szCs w:val="21"/>
                <w:highlight w:val="none"/>
                <w:u w:val="single"/>
                <w:lang w:val="en-US" w:eastAsia="zh-CN"/>
              </w:rPr>
              <w:t>计取</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不足人民币3000元的，按人民币3000元收取。</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收款单位：</w:t>
            </w:r>
            <w:r>
              <w:rPr>
                <w:rFonts w:hint="eastAsia" w:ascii="宋体" w:hAnsi="宋体" w:eastAsia="宋体" w:cs="宋体"/>
                <w:color w:val="auto"/>
                <w:sz w:val="21"/>
                <w:szCs w:val="21"/>
                <w:highlight w:val="none"/>
                <w:u w:val="single"/>
              </w:rPr>
              <w:t>常州青枫招标有限公司</w:t>
            </w:r>
            <w:r>
              <w:rPr>
                <w:rFonts w:hint="eastAsia" w:ascii="宋体" w:hAnsi="宋体" w:eastAsia="宋体" w:cs="宋体"/>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收款银行：</w:t>
            </w:r>
            <w:r>
              <w:rPr>
                <w:rFonts w:hint="eastAsia" w:ascii="宋体" w:hAnsi="宋体" w:eastAsia="宋体" w:cs="宋体"/>
                <w:color w:val="auto"/>
                <w:sz w:val="21"/>
                <w:szCs w:val="21"/>
                <w:highlight w:val="none"/>
                <w:u w:val="single"/>
              </w:rPr>
              <w:t xml:space="preserve">中信银行常州分行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r>
              <w:rPr>
                <w:rFonts w:hint="eastAsia" w:ascii="宋体" w:hAnsi="宋体" w:eastAsia="宋体" w:cs="宋体"/>
                <w:color w:val="auto"/>
                <w:sz w:val="21"/>
                <w:szCs w:val="21"/>
                <w:highlight w:val="none"/>
                <w:u w:val="single"/>
              </w:rPr>
              <w:t xml:space="preserve">811 0501 0121 0099 2840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缴纳时间：</w:t>
            </w:r>
            <w:r>
              <w:rPr>
                <w:rFonts w:hint="eastAsia" w:ascii="宋体" w:hAnsi="宋体" w:eastAsia="宋体" w:cs="宋体"/>
                <w:color w:val="auto"/>
                <w:sz w:val="21"/>
                <w:szCs w:val="21"/>
                <w:highlight w:val="none"/>
                <w:u w:val="single"/>
              </w:rPr>
              <w:t>领取成交通知书前</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bl>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cs="宋体"/>
          <w:b/>
          <w:bCs/>
          <w:color w:val="auto"/>
          <w:sz w:val="28"/>
          <w:szCs w:val="28"/>
          <w:highlight w:val="none"/>
          <w:lang w:eastAsia="zh-CN"/>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lang w:eastAsia="zh-CN"/>
        </w:rPr>
        <w:t>供应商</w:t>
      </w:r>
      <w:r>
        <w:rPr>
          <w:rFonts w:hint="eastAsia" w:ascii="宋体" w:hAnsi="宋体" w:cs="宋体"/>
          <w:b/>
          <w:bCs/>
          <w:color w:val="auto"/>
          <w:sz w:val="28"/>
          <w:szCs w:val="28"/>
          <w:highlight w:val="none"/>
        </w:rPr>
        <w:t>须知</w:t>
      </w: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color w:val="auto"/>
          <w:sz w:val="28"/>
          <w:szCs w:val="28"/>
          <w:highlight w:val="none"/>
        </w:rPr>
      </w:pPr>
      <w:r>
        <w:rPr>
          <w:rFonts w:hint="eastAsia" w:ascii="宋体" w:hAnsi="宋体" w:cs="宋体"/>
          <w:b/>
          <w:bCs/>
          <w:color w:val="auto"/>
          <w:sz w:val="28"/>
          <w:szCs w:val="28"/>
          <w:highlight w:val="none"/>
        </w:rPr>
        <w:t>一   说  明</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 采购人、采购代理机构、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、联合体</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1.1采购人、采购代理机构：指依法进行政府采购的国家机关、事业单位、团体组织，及其委托的采购代理机构。本项目采购人、采购代理机构见第一章《采购邀请》。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1.2供应商（也称“申请人”）：指向采购人提供货物、工程或者服务的法人、其他组织或者自然人。</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联合体：指两个以上的自然人、法人或者其他组织组成一个联合体，以一个供应商的身份共同参加政府采购。</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 资金来源、科研仪器设备采购</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2.1资金来源为财政性资金和/或本项目采购中无法与财政性资金分割的非财政性资金。</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2.2</w:t>
      </w:r>
      <w:r>
        <w:rPr>
          <w:rFonts w:hint="eastAsia" w:ascii="宋体" w:hAnsi="宋体" w:cs="宋体"/>
          <w:color w:val="auto"/>
          <w:szCs w:val="21"/>
          <w:highlight w:val="none"/>
        </w:rPr>
        <w:t>是否属于科研仪器设备采购见《供应商须知资料表》。</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3 政府采购政策（包括但不限于下列具体政策要求）</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3.1进口产品</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3.1.1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3.2中小企业、监狱企业及残疾人福利性单位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3.2.1中小企业定义：</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123455.15.25.2.13.2.1.1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3.2.1.2供应商提供的货物、工程或者服务符合下列情形的，享受中小企业扶持政策：</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（1）在货物采购项目中，货物由中小企业制造，即货物由中小企业生产且使用该中小企业商号或者注册商标；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（2）在工程采购项目中，工程由中小企业承建，即工程施工单位为中小企业；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（3）在服务采购项目中，服务由中小企业承接，即提供服务的人员为中小企业依照《中华人民共和国劳动合同法》订立劳动合同的从业人员。</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3.2.1.3在货物采购项目中，供应商提供的货物既有中小企业制造货物，也有大型企业制造货物的，不享受中小企业扶持政策。</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3.2.1.4以联合体形式参加政府采购活动，联合体各方均为中小企业的，联合体视同中小企业。其中，联合体各方均为小微企业的，联合体视同小微企业。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3.2.2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3.2.3残疾人福利单位定义：享受政府采购支持政策的残疾人福利性单位应当同时满足以下条件：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5.2.25.2.33.2.3.1安置的残疾人占本单位在职职工人数的比例不低于25%（含25%），并且安置的残疾人人数不少于10 人（含10 人）；</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3.2.3.2依法与安置的每位残疾人签订了一年以上（含一年）的劳动合同或服务协议；</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3.2.3.3为安置的每位残疾人按月足额缴纳了基本养老保险、基本医疗保险、失业保险、工伤保险和生育保险等社会保险费；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3.2.3.4通过银行等金融机构向安置的每位残疾人，按月支付了不低于单位所在区县适用的经省级人民政府批准的月最低工资标准的工资；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3.2.3.5提供本单位制造的货物、承担的工程或者服务（以下简称产品），或者提供其他残疾人福利性单位制造的货物（不包括使用非残疾人福利性单位注册商标的货物）；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3.2.4本项目是否专门面向中小企业预留采购份额见第一章《采购邀请》。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3.2.5采购标的对应的中小企业划分标准所属行业见《供应商须知资料表》。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3.2.6小微企业价格评审优惠的政策调整：见第三章《评审程序和评定成交的标准》。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3.3政府采购节能产品、环境标志产品</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3.3.2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3.3.3如本项目采购产品属于实施政府强制采购品目清单范围的节能产品，则供应商所报产品必须获得国家确定的认证机构出具的、处于有效期之内的节能产品认证证书，否则响应无效；</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3.3.4非政府强制采购的节能产品或环境标志产品，依据品目清单和认证证书实施政府优先采购。优先采购的具体规定见第三章《评审程序和评定成交的标准》（如涉及）。</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3.3.5依据《关于印发〈商品包装政府采购需求标准（试行）〉、〈快递包装政府采购需求标准（试行）〉的通知》（财办库〔2020〕123号）文件精神，采购人在采购文件中明确政府采购供应商提供产品及相关快递服务的具体包装要求的，在政府采购合同中载明对政府采购供应商提供产品及相关快递服务的具体包装要求和履约验收相关条款的，中标成交供应商必须严格执行，必要时应按照要求在履约验收环节出具检测报告。</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3.4支持乡村产业振兴管理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3.4.1为落实《关于运用政府采购政策支持乡村产业振兴的通知》（财库〔2021〕19号）有关要求，做好支持脱贫攻坚工作，本项目采购活动中对于支持乡村振兴管理的相关要求见第四章《采购需求》（如涉及）。</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3.5正版软件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3.5.1依据《财政部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响应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3.5.2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3.6信息安全产品</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3.6.1所投产品属于《关于调整信息安全产品强制性认证实施要求的公告》（2009 年第33 号）范围的，采购经国家认证的信息安全产品，否则响应无效。关于信息安全相关规定依据《关于信息安全产品实施政府采购的通知》（财库〔2010〕48 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3.7政府采购创新产品政策</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3.7.1</w:t>
      </w:r>
      <w:r>
        <w:rPr>
          <w:rFonts w:hint="eastAsia" w:ascii="宋体" w:hAnsi="宋体" w:cs="宋体"/>
          <w:color w:val="auto"/>
          <w:szCs w:val="21"/>
          <w:highlight w:val="none"/>
        </w:rPr>
        <w:t>采购人要将创新要求嵌入采购项目需求，可在采购文件中设定评审规则，优先采购各级政府部门公开发布的有效期内的创新产品、创新服务、首台套、首购首用等《目录》的创新产品，上述《目录》内创新产品，自认定之日起2年内视同已具备相应销售业绩，参加政府采购活动时业绩分值为满分。</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费用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4.1</w:t>
      </w:r>
      <w:r>
        <w:rPr>
          <w:rFonts w:hint="eastAsia" w:ascii="宋体" w:hAnsi="宋体" w:cs="宋体"/>
          <w:color w:val="auto"/>
          <w:szCs w:val="21"/>
          <w:highlight w:val="none"/>
        </w:rPr>
        <w:t>供应商应自行承担所有与准备和参加竞争性谈判响应有关的费用，无论响应的结果如何，采购人或采购代理机构在任何情况下均无承担这些费用的义务和责任。</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二   </w:t>
      </w:r>
      <w:r>
        <w:rPr>
          <w:rFonts w:hint="eastAsia" w:ascii="宋体" w:hAnsi="宋体" w:cs="宋体"/>
          <w:b/>
          <w:bCs/>
          <w:color w:val="auto"/>
          <w:sz w:val="28"/>
          <w:szCs w:val="28"/>
          <w:highlight w:val="none"/>
          <w:lang w:val="en-US" w:eastAsia="zh-CN"/>
        </w:rPr>
        <w:t>谈判</w:t>
      </w:r>
      <w:r>
        <w:rPr>
          <w:rFonts w:hint="eastAsia" w:ascii="宋体" w:hAnsi="宋体" w:cs="宋体"/>
          <w:b/>
          <w:bCs/>
          <w:color w:val="auto"/>
          <w:sz w:val="28"/>
          <w:szCs w:val="28"/>
          <w:highlight w:val="none"/>
        </w:rPr>
        <w:t>文件</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谈判</w:t>
      </w:r>
      <w:r>
        <w:rPr>
          <w:rFonts w:hint="eastAsia" w:ascii="宋体" w:hAnsi="宋体" w:cs="宋体"/>
          <w:b/>
          <w:bCs/>
          <w:color w:val="auto"/>
          <w:szCs w:val="21"/>
          <w:highlight w:val="none"/>
        </w:rPr>
        <w:t>文件构成</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5.1谈判文件包括以下部分：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第一章谈判邀请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第二章供应商须知</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第三章评审程序和评定成交的标准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第四章采购需求</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第五章合同草案条款</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第六章响应文件格式</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供应商应认真阅读谈判文件的全部内容。供应商应按照谈判文件要求提交响应文件并保证所提供的全部资料的真实性，并对谈判文件做出实质性响应，否则响应无效。。</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对谈判文件的澄清或修改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6.1采购人或采购代理机构对已发出的谈判文件进行必要澄清或者修改的，将在原公告发布媒体上以发布更正公告的形式通知所有获取谈判文件的供应商。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6.2</w:t>
      </w:r>
      <w:r>
        <w:rPr>
          <w:rFonts w:hint="eastAsia" w:ascii="宋体" w:hAnsi="宋体" w:cs="宋体"/>
          <w:color w:val="auto"/>
          <w:szCs w:val="21"/>
          <w:highlight w:val="none"/>
        </w:rPr>
        <w:t>澄清或者修改的内容为谈判文件的组成部分，并对所有获取谈判文件的潜在供应商具有约束力。澄清或者修改的内容可能影响响应文件编制的，将在提交首次响应文件截止之日3个工作日前，以更正公告形式通知所有获取谈判文件的潜在供应商；不足3个工作日的，将顺延提交首次响应文件截止之日。</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三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的编制</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 xml:space="preserve"> 响应范围、响应文件中计量单位的使用及响应语言</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7.1本项目如划分采购包，供应商可以对本项目的其中一个采购包进行响应，也可同时对多个采购包进行响应。供应商应当对所投采购包对应第四章《采购需求》所列的全部内容进行响应，不得将一个采购包中的内容拆开响应，否则其对该采购包的响应将被认定为无效响应。</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7.2除谈判文件有特殊要求外，本项目响应所使用的计量单位，应采用中华人民共和国法定计量单位。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7.3</w:t>
      </w:r>
      <w:r>
        <w:rPr>
          <w:rFonts w:hint="eastAsia" w:ascii="宋体" w:hAnsi="宋体" w:cs="宋体"/>
          <w:color w:val="auto"/>
          <w:szCs w:val="21"/>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构成</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8.1供应商应当按照谈判文件的要求编制响应文件。响应文件的部分格式要求，见第六章《响应文件格式》。</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8.2对于谈判文件中标记了“实质性格式”文件的，供应商不得改变格式中给定的文字所表达的含义，不得删减格式中的实质性内容，不得自行添加与格式中给定的文字内容相矛盾的内容，不得对应当填写的空格不填写或不实质性响应，否则响应无效。未标记“实质性格式”的文件和谈判文件未提供格式的内容，可由供应商自行编写。</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8.3第三章《评审程序和评定成交的标准》中涉及的证明文件。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8.4对照第四章《采购需求》，说明所提供货物和服务已对第四章《采购需求》做出了响应，或申明与第四章《采购需求》的偏差和例外。如第四章《采购需求》中要求提供证明文件的，供应商应当按具体要求提供证明文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8.5</w:t>
      </w:r>
      <w:r>
        <w:rPr>
          <w:rFonts w:hint="eastAsia" w:ascii="宋体" w:hAnsi="宋体" w:cs="宋体"/>
          <w:color w:val="auto"/>
          <w:szCs w:val="21"/>
          <w:highlight w:val="none"/>
        </w:rPr>
        <w:t>供应商认为应附的其他材料。</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9</w:t>
      </w:r>
      <w:r>
        <w:rPr>
          <w:rFonts w:hint="eastAsia" w:ascii="宋体" w:hAnsi="宋体" w:cs="宋体"/>
          <w:b/>
          <w:bCs/>
          <w:color w:val="auto"/>
          <w:szCs w:val="21"/>
          <w:highlight w:val="none"/>
        </w:rPr>
        <w:t xml:space="preserve"> 报价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9.1所有响应均以人民币报价。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9.2供应商的报价应包括为完成本项目所发生的一切费用和税费，采购人将不再支付报价以外的任何费用。供应商的报价应包括但不限于下列内容，《供应商须知资料表》中有特殊规定的，从其规定。</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9.2.1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9.2.2按照谈判文件要求完成本项目的全部相关工程或服务费用。 </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9.3采购人不得向供应商索要或者接受其给予的赠品、回扣或者与采购无关的其他商品、服务。</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9.4</w:t>
      </w:r>
      <w:r>
        <w:rPr>
          <w:rFonts w:hint="eastAsia" w:ascii="宋体" w:hAnsi="宋体" w:cs="宋体"/>
          <w:color w:val="auto"/>
          <w:szCs w:val="21"/>
          <w:highlight w:val="none"/>
        </w:rPr>
        <w:t>供应商不能提供任何有选择性或可调整的最终报价（谈判文件另有规定的除外），否则其响应无效。</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10</w:t>
      </w:r>
      <w:r>
        <w:rPr>
          <w:rFonts w:hint="eastAsia" w:ascii="宋体" w:hAnsi="宋体" w:cs="宋体"/>
          <w:b/>
          <w:bCs/>
          <w:color w:val="auto"/>
          <w:szCs w:val="21"/>
          <w:highlight w:val="none"/>
        </w:rPr>
        <w:t xml:space="preserve"> 保证金</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根据江苏省和常州市的相关文件规定，免收</w:t>
      </w:r>
      <w:r>
        <w:rPr>
          <w:rFonts w:hint="eastAsia" w:ascii="宋体" w:hAnsi="宋体" w:cs="宋体"/>
          <w:color w:val="auto"/>
          <w:szCs w:val="21"/>
          <w:highlight w:val="none"/>
          <w:lang w:eastAsia="zh-CN"/>
        </w:rPr>
        <w:t>保证金</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11</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响应</w:t>
      </w:r>
      <w:r>
        <w:rPr>
          <w:rFonts w:hint="eastAsia" w:ascii="宋体" w:hAnsi="宋体" w:cs="宋体"/>
          <w:b/>
          <w:bCs/>
          <w:color w:val="auto"/>
          <w:szCs w:val="21"/>
          <w:highlight w:val="none"/>
        </w:rPr>
        <w:t>有效期</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.1</w:t>
      </w:r>
      <w:r>
        <w:rPr>
          <w:rFonts w:hint="eastAsia" w:ascii="宋体" w:hAnsi="宋体" w:cs="宋体"/>
          <w:color w:val="auto"/>
          <w:szCs w:val="21"/>
          <w:highlight w:val="none"/>
          <w:lang w:eastAsia="zh-CN"/>
        </w:rPr>
        <w:t>响应文件应在本谈判文件《供应商须知资料表》中规定的响应有效期内保持有效，响应有效期少于谈判文件规定期限的，其响应无效。</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的签署、加盖公章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.1</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要求签字的内容（如授权委托书等），</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应按照要求，在规定的地方加盖单位公章以及</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法定代表人或其委托代理人签字（盖章）；要求第三方出具的盖章件原件（如联合协议、分包意向协议、制造商授权书原件等），</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中应使用原件的复印件。</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.2</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正本、副本必须全部是打印件。</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应按照要求，在规定的地方加盖单位公章以及</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法定代表人（或其委托代理人）签字（盖章）。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.3</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应无涂改和行间插字，</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造成的必须修改的错误，修改处须加盖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公章，并由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法定代表人或代理人签字或盖章，否则</w:t>
      </w:r>
      <w:r>
        <w:rPr>
          <w:rFonts w:hint="eastAsia" w:ascii="宋体" w:hAnsi="宋体" w:cs="宋体"/>
          <w:b/>
          <w:bCs/>
          <w:color w:val="auto"/>
          <w:szCs w:val="21"/>
          <w:highlight w:val="none"/>
        </w:rPr>
        <w:t>修改无效</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2" w:firstLineChars="200"/>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12</w:t>
      </w:r>
      <w:r>
        <w:rPr>
          <w:rFonts w:hint="eastAsia" w:ascii="宋体" w:hAnsi="宋体" w:cs="宋体"/>
          <w:b/>
          <w:bCs/>
          <w:color w:val="auto"/>
          <w:szCs w:val="21"/>
          <w:highlight w:val="none"/>
        </w:rPr>
        <w:t>.4本文件所表述的公章是指法定名称章，不包括合同专用章、业务专用章、部门专用章、财务专用章等印章。盖章是指加盖鲜章。</w:t>
      </w: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ascii="宋体" w:hAnsi="宋体" w:cs="宋体"/>
          <w:b/>
          <w:bCs/>
          <w:color w:val="auto"/>
          <w:sz w:val="28"/>
          <w:szCs w:val="28"/>
          <w:highlight w:val="none"/>
        </w:rPr>
      </w:pPr>
      <w:r>
        <w:rPr>
          <w:rFonts w:hint="eastAsia" w:ascii="宋体" w:hAnsi="宋体" w:cs="宋体"/>
          <w:b/>
          <w:bCs/>
          <w:color w:val="auto"/>
          <w:sz w:val="28"/>
          <w:szCs w:val="28"/>
          <w:highlight w:val="none"/>
        </w:rPr>
        <w:t xml:space="preserve">四   </w:t>
      </w:r>
      <w:r>
        <w:rPr>
          <w:rFonts w:hint="eastAsia" w:ascii="宋体" w:hAnsi="宋体" w:cs="宋体"/>
          <w:b/>
          <w:bCs/>
          <w:color w:val="auto"/>
          <w:sz w:val="28"/>
          <w:szCs w:val="28"/>
          <w:highlight w:val="none"/>
          <w:lang w:eastAsia="zh-CN"/>
        </w:rPr>
        <w:t>响应文件</w:t>
      </w:r>
      <w:r>
        <w:rPr>
          <w:rFonts w:hint="eastAsia" w:ascii="宋体" w:hAnsi="宋体" w:cs="宋体"/>
          <w:b/>
          <w:bCs/>
          <w:color w:val="auto"/>
          <w:sz w:val="28"/>
          <w:szCs w:val="28"/>
          <w:highlight w:val="none"/>
        </w:rPr>
        <w:t>的提交</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13</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的提交</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见</w:t>
      </w:r>
      <w:r>
        <w:rPr>
          <w:color w:val="auto"/>
          <w:szCs w:val="21"/>
          <w:highlight w:val="none"/>
        </w:rPr>
        <w:t>《</w:t>
      </w:r>
      <w:r>
        <w:rPr>
          <w:rFonts w:hint="eastAsia"/>
          <w:color w:val="auto"/>
          <w:szCs w:val="21"/>
          <w:highlight w:val="none"/>
          <w:lang w:eastAsia="zh-CN"/>
        </w:rPr>
        <w:t>供应商</w:t>
      </w:r>
      <w:r>
        <w:rPr>
          <w:color w:val="auto"/>
          <w:szCs w:val="21"/>
          <w:highlight w:val="none"/>
        </w:rPr>
        <w:t>须知资料表》</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应将</w:t>
      </w:r>
      <w:r>
        <w:rPr>
          <w:rFonts w:hint="eastAsia" w:ascii="宋体" w:hAnsi="宋体" w:cs="宋体"/>
          <w:color w:val="auto"/>
          <w:szCs w:val="21"/>
          <w:highlight w:val="none"/>
          <w:lang w:eastAsia="zh-CN"/>
        </w:rPr>
        <w:t>响应文件</w:t>
      </w:r>
      <w:r>
        <w:rPr>
          <w:rFonts w:hint="eastAsia" w:ascii="宋体" w:hAnsi="宋体" w:cs="宋体"/>
          <w:b/>
          <w:bCs/>
          <w:color w:val="auto"/>
          <w:szCs w:val="21"/>
          <w:highlight w:val="none"/>
        </w:rPr>
        <w:t>正副本分开独立密封</w:t>
      </w:r>
      <w:r>
        <w:rPr>
          <w:rFonts w:hint="eastAsia" w:ascii="宋体" w:hAnsi="宋体" w:cs="宋体"/>
          <w:color w:val="auto"/>
          <w:szCs w:val="21"/>
          <w:highlight w:val="none"/>
        </w:rPr>
        <w:t>，所有封袋上都应当</w:t>
      </w:r>
      <w:r>
        <w:rPr>
          <w:rFonts w:hint="eastAsia" w:ascii="宋体" w:hAnsi="宋体" w:cs="宋体"/>
          <w:b/>
          <w:bCs/>
          <w:color w:val="auto"/>
          <w:szCs w:val="21"/>
          <w:highlight w:val="none"/>
        </w:rPr>
        <w:t>加盖</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公章</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.3</w:t>
      </w:r>
      <w:r>
        <w:rPr>
          <w:rFonts w:ascii="宋体" w:hAnsi="宋体" w:cs="宋体"/>
          <w:color w:val="auto"/>
          <w:szCs w:val="21"/>
          <w:highlight w:val="none"/>
        </w:rPr>
        <w:t>所有封袋上都必须正确写明：正副本情况、项目编号、项目名称、</w:t>
      </w:r>
      <w:r>
        <w:rPr>
          <w:rFonts w:hint="eastAsia" w:ascii="宋体" w:hAnsi="宋体" w:cs="宋体"/>
          <w:color w:val="auto"/>
          <w:szCs w:val="21"/>
          <w:highlight w:val="none"/>
          <w:lang w:eastAsia="zh-CN"/>
        </w:rPr>
        <w:t>供应商</w:t>
      </w:r>
      <w:r>
        <w:rPr>
          <w:rFonts w:ascii="宋体" w:hAnsi="宋体" w:cs="宋体"/>
          <w:color w:val="auto"/>
          <w:szCs w:val="21"/>
          <w:highlight w:val="none"/>
        </w:rPr>
        <w:t>名称、</w:t>
      </w:r>
      <w:r>
        <w:rPr>
          <w:rFonts w:hint="eastAsia" w:ascii="宋体" w:hAnsi="宋体" w:cs="宋体"/>
          <w:color w:val="auto"/>
          <w:szCs w:val="21"/>
          <w:highlight w:val="none"/>
          <w:lang w:eastAsia="zh-CN"/>
        </w:rPr>
        <w:t>供应商</w:t>
      </w:r>
      <w:r>
        <w:rPr>
          <w:rFonts w:ascii="宋体" w:hAnsi="宋体" w:cs="宋体"/>
          <w:color w:val="auto"/>
          <w:szCs w:val="21"/>
          <w:highlight w:val="none"/>
        </w:rPr>
        <w:t>法</w:t>
      </w:r>
      <w:r>
        <w:rPr>
          <w:rFonts w:hint="eastAsia" w:ascii="宋体" w:hAnsi="宋体" w:cs="宋体"/>
          <w:color w:val="auto"/>
          <w:szCs w:val="21"/>
          <w:highlight w:val="none"/>
        </w:rPr>
        <w:t>定代表人或其授权委托人名称字样。</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.4</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在递交</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时须提供有效的法定代表人或代理人身份证原件，未提供的，采购代理机构不接收其</w:t>
      </w:r>
      <w:r>
        <w:rPr>
          <w:rFonts w:hint="eastAsia" w:ascii="宋体" w:hAnsi="宋体" w:cs="宋体"/>
          <w:b/>
          <w:bCs/>
          <w:color w:val="auto"/>
          <w:szCs w:val="21"/>
          <w:highlight w:val="none"/>
          <w:lang w:eastAsia="zh-CN"/>
        </w:rPr>
        <w:t>响应文件</w:t>
      </w:r>
      <w:r>
        <w:rPr>
          <w:rFonts w:hint="eastAsia" w:ascii="宋体" w:hAnsi="宋体" w:cs="宋体"/>
          <w:color w:val="auto"/>
          <w:szCs w:val="21"/>
          <w:highlight w:val="none"/>
        </w:rPr>
        <w:t>。</w:t>
      </w:r>
    </w:p>
    <w:p>
      <w:pPr>
        <w:pStyle w:val="21"/>
        <w:keepNext w:val="0"/>
        <w:keepLines w:val="0"/>
        <w:pageBreakBefore w:val="0"/>
        <w:widowControl w:val="0"/>
        <w:kinsoku/>
        <w:wordWrap/>
        <w:overflowPunct/>
        <w:topLinePunct w:val="0"/>
        <w:autoSpaceDE/>
        <w:autoSpaceDN/>
        <w:bidi w:val="0"/>
        <w:snapToGrid/>
        <w:spacing w:before="0" w:line="440" w:lineRule="exact"/>
        <w:ind w:left="0" w:firstLine="420" w:firstLineChars="200"/>
        <w:textAlignment w:val="auto"/>
        <w:outlineLvl w:val="9"/>
        <w:rPr>
          <w:rFonts w:cs="宋体"/>
          <w:color w:val="auto"/>
          <w:szCs w:val="21"/>
          <w:highlight w:val="none"/>
        </w:rPr>
      </w:pPr>
      <w:r>
        <w:rPr>
          <w:rFonts w:hint="eastAsia" w:cs="宋体"/>
          <w:color w:val="auto"/>
          <w:szCs w:val="21"/>
          <w:highlight w:val="none"/>
        </w:rPr>
        <w:t>1</w:t>
      </w:r>
      <w:r>
        <w:rPr>
          <w:rFonts w:hint="eastAsia" w:cs="宋体"/>
          <w:color w:val="auto"/>
          <w:szCs w:val="21"/>
          <w:highlight w:val="none"/>
          <w:lang w:val="en-US" w:eastAsia="zh-CN"/>
        </w:rPr>
        <w:t>3</w:t>
      </w:r>
      <w:r>
        <w:rPr>
          <w:rFonts w:hint="eastAsia" w:cs="宋体"/>
          <w:color w:val="auto"/>
          <w:szCs w:val="21"/>
          <w:highlight w:val="none"/>
        </w:rPr>
        <w:t xml:space="preserve">.5 </w:t>
      </w:r>
      <w:r>
        <w:rPr>
          <w:rFonts w:hint="eastAsia" w:cs="宋体"/>
          <w:color w:val="auto"/>
          <w:szCs w:val="21"/>
          <w:highlight w:val="none"/>
          <w:lang w:eastAsia="zh-CN"/>
        </w:rPr>
        <w:t>供应商</w:t>
      </w:r>
      <w:r>
        <w:rPr>
          <w:rFonts w:hint="eastAsia" w:cs="宋体"/>
          <w:color w:val="auto"/>
          <w:szCs w:val="21"/>
          <w:highlight w:val="none"/>
        </w:rPr>
        <w:t>未按上述规定提交</w:t>
      </w:r>
      <w:r>
        <w:rPr>
          <w:rFonts w:hint="eastAsia" w:cs="宋体"/>
          <w:color w:val="auto"/>
          <w:szCs w:val="21"/>
          <w:highlight w:val="none"/>
          <w:lang w:eastAsia="zh-CN"/>
        </w:rPr>
        <w:t>响应文件</w:t>
      </w:r>
      <w:r>
        <w:rPr>
          <w:rFonts w:hint="eastAsia" w:cs="宋体"/>
          <w:color w:val="auto"/>
          <w:szCs w:val="21"/>
          <w:highlight w:val="none"/>
        </w:rPr>
        <w:t>，其</w:t>
      </w:r>
      <w:r>
        <w:rPr>
          <w:rFonts w:hint="eastAsia" w:cs="宋体"/>
          <w:color w:val="auto"/>
          <w:szCs w:val="21"/>
          <w:highlight w:val="none"/>
          <w:lang w:eastAsia="zh-CN"/>
        </w:rPr>
        <w:t>响应文件</w:t>
      </w:r>
      <w:r>
        <w:rPr>
          <w:rFonts w:hint="eastAsia" w:cs="宋体"/>
          <w:b/>
          <w:bCs/>
          <w:color w:val="auto"/>
          <w:szCs w:val="21"/>
          <w:highlight w:val="none"/>
        </w:rPr>
        <w:t>将被拒绝</w:t>
      </w:r>
      <w:r>
        <w:rPr>
          <w:rFonts w:hint="eastAsia" w:cs="宋体"/>
          <w:color w:val="auto"/>
          <w:szCs w:val="21"/>
          <w:highlight w:val="none"/>
        </w:rPr>
        <w:t>。</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提交响应截止时间</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应在规定的截止日期和时间之前将</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提交至《</w:t>
      </w:r>
      <w:r>
        <w:rPr>
          <w:rFonts w:hint="eastAsia" w:ascii="宋体" w:hAnsi="宋体" w:cs="宋体"/>
          <w:color w:val="auto"/>
          <w:szCs w:val="21"/>
          <w:highlight w:val="none"/>
          <w:lang w:eastAsia="zh-CN"/>
        </w:rPr>
        <w:t>采购邀请</w:t>
      </w:r>
      <w:r>
        <w:rPr>
          <w:rFonts w:hint="eastAsia" w:ascii="宋体" w:hAnsi="宋体" w:cs="宋体"/>
          <w:color w:val="auto"/>
          <w:szCs w:val="21"/>
          <w:highlight w:val="none"/>
        </w:rPr>
        <w:t>》中注明的地点，凡逾期送达的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将作为</w:t>
      </w:r>
      <w:r>
        <w:rPr>
          <w:rFonts w:hint="eastAsia" w:ascii="宋体" w:hAnsi="宋体" w:cs="宋体"/>
          <w:b/>
          <w:bCs/>
          <w:color w:val="auto"/>
          <w:szCs w:val="21"/>
          <w:highlight w:val="none"/>
        </w:rPr>
        <w:t>无效</w:t>
      </w:r>
      <w:r>
        <w:rPr>
          <w:rFonts w:hint="eastAsia" w:ascii="宋体" w:hAnsi="宋体" w:cs="宋体"/>
          <w:b/>
          <w:bCs/>
          <w:color w:val="auto"/>
          <w:szCs w:val="21"/>
          <w:highlight w:val="none"/>
          <w:lang w:eastAsia="zh-CN"/>
        </w:rPr>
        <w:t>响应文件</w:t>
      </w:r>
      <w:r>
        <w:rPr>
          <w:rFonts w:hint="eastAsia" w:ascii="宋体" w:hAnsi="宋体" w:cs="宋体"/>
          <w:color w:val="auto"/>
          <w:szCs w:val="21"/>
          <w:highlight w:val="none"/>
        </w:rPr>
        <w:t>处理。</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的修改与撤回</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.1</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在递交</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后，可以修改或撤回其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，但这种修改和撤回，必须在规定的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截止时间前，以书面形式通知采购代理机构，修改或撤回其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的补充、修改的内容应当按照</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要求签署、加盖公章，作为</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的组成部分。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的修改或撤回文件应按规定进行编制、密封、标记和发送，并应在封套上加注“修改”或“撤回”字样。上述补充或修改若涉及</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报价，必须注明“最后唯一报价”字样，否则将视为有选择的报价。修改文件必须在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截止时间前送达采购代理机构。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.4在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截止时间之后，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不得对其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作任何修改。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.5在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截止时间至</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中规定的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有效期满之间的这段时间内，</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不得撤销其</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eastAsia="宋体" w:cs="宋体"/>
          <w:b/>
          <w:bCs/>
          <w:color w:val="auto"/>
          <w:sz w:val="28"/>
          <w:szCs w:val="28"/>
          <w:highlight w:val="none"/>
          <w:lang w:eastAsia="zh-CN"/>
        </w:rPr>
      </w:pPr>
      <w:r>
        <w:rPr>
          <w:rFonts w:hint="eastAsia" w:ascii="宋体" w:hAnsi="宋体" w:cs="宋体"/>
          <w:b/>
          <w:bCs/>
          <w:color w:val="auto"/>
          <w:sz w:val="28"/>
          <w:szCs w:val="28"/>
          <w:highlight w:val="none"/>
        </w:rPr>
        <w:t xml:space="preserve">五   </w:t>
      </w:r>
      <w:r>
        <w:rPr>
          <w:rFonts w:hint="eastAsia" w:ascii="宋体" w:hAnsi="宋体" w:cs="宋体"/>
          <w:b/>
          <w:bCs/>
          <w:color w:val="auto"/>
          <w:sz w:val="28"/>
          <w:szCs w:val="28"/>
          <w:highlight w:val="none"/>
          <w:lang w:val="en-US" w:eastAsia="zh-CN"/>
        </w:rPr>
        <w:t>评审</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16</w:t>
      </w:r>
      <w:r>
        <w:rPr>
          <w:rFonts w:hint="eastAsia" w:ascii="宋体" w:hAnsi="宋体" w:cs="宋体"/>
          <w:b/>
          <w:bCs/>
          <w:color w:val="auto"/>
          <w:szCs w:val="21"/>
          <w:highlight w:val="none"/>
        </w:rPr>
        <w:t xml:space="preserve"> 开标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.1采购人或采购代理机构将按</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的规定，在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截止时间的同一时间和</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预先确定的地点组织开标。</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.2</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参加开标会的应由法定代表人或委托代理人携带</w:t>
      </w:r>
      <w:r>
        <w:rPr>
          <w:rFonts w:hint="eastAsia" w:ascii="宋体" w:hAnsi="宋体" w:cs="宋体"/>
          <w:b/>
          <w:bCs/>
          <w:color w:val="auto"/>
          <w:szCs w:val="21"/>
          <w:highlight w:val="none"/>
        </w:rPr>
        <w:t>本人有效的身份证原件</w:t>
      </w:r>
      <w:r>
        <w:rPr>
          <w:rFonts w:hint="eastAsia" w:ascii="宋体" w:hAnsi="宋体" w:cs="宋体"/>
          <w:color w:val="auto"/>
          <w:szCs w:val="21"/>
          <w:highlight w:val="none"/>
        </w:rPr>
        <w:t>准时参加，并签名报到以证明其出席。</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.3开标时，</w:t>
      </w:r>
      <w:r>
        <w:rPr>
          <w:rFonts w:hint="eastAsia" w:ascii="宋体" w:hAnsi="宋体" w:cs="宋体"/>
          <w:b/>
          <w:bCs/>
          <w:color w:val="auto"/>
          <w:szCs w:val="21"/>
          <w:highlight w:val="none"/>
        </w:rPr>
        <w:t>由</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或者其推选的代表查验</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的密封情况</w:t>
      </w:r>
      <w:r>
        <w:rPr>
          <w:rFonts w:hint="eastAsia" w:ascii="宋体" w:hAnsi="宋体" w:cs="宋体"/>
          <w:color w:val="auto"/>
          <w:szCs w:val="21"/>
          <w:highlight w:val="none"/>
        </w:rPr>
        <w:t>；确认无误后，由采购代理机构工作人员当众拆封，宣布</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价格和</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规定的需要宣布的其他内容。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.4采购代理机构在</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截止时间前收到的所有</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，开标时都予以拆封。按照规定同意撤回的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将不予开封。采购代理机构对开标过程予以记录并存档备查。</w:t>
      </w:r>
      <w:r>
        <w:rPr>
          <w:rFonts w:hint="eastAsia" w:ascii="宋体" w:hAnsi="宋体" w:cs="宋体"/>
          <w:b/>
          <w:bCs/>
          <w:color w:val="auto"/>
          <w:szCs w:val="21"/>
          <w:highlight w:val="none"/>
        </w:rPr>
        <w:t>各</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需仔细核对开标记录相关内容并签字确认</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16</w:t>
      </w:r>
      <w:r>
        <w:rPr>
          <w:rFonts w:hint="eastAsia" w:ascii="宋体" w:hAnsi="宋体" w:cs="宋体"/>
          <w:color w:val="auto"/>
          <w:szCs w:val="21"/>
          <w:highlight w:val="none"/>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不足3家的，不予开标。</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 xml:space="preserve"> 谈判小组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17.1谈判小组根据政府采购有关规定和本次竞争性谈判采购项目的特点进行组建，并负责具体评审与谈判事务，独立履行职责。</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17.2</w:t>
      </w:r>
      <w:r>
        <w:rPr>
          <w:rFonts w:hint="eastAsia" w:ascii="宋体" w:hAnsi="宋体" w:cs="宋体"/>
          <w:color w:val="auto"/>
          <w:szCs w:val="21"/>
          <w:highlight w:val="none"/>
        </w:rPr>
        <w:t>评审专家须符合相关规定。依法自行选定评审专家的，采购人和采购代理机构将查询有关信用记录，对具有行贿、受贿、欺诈等不良信用记录的人员，拒绝其参与政府采购活动。</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18</w:t>
      </w:r>
      <w:r>
        <w:rPr>
          <w:rFonts w:hint="eastAsia" w:ascii="宋体" w:hAnsi="宋体" w:cs="宋体"/>
          <w:b/>
          <w:bCs/>
          <w:color w:val="auto"/>
          <w:szCs w:val="21"/>
          <w:highlight w:val="none"/>
        </w:rPr>
        <w:t xml:space="preserve"> 评标程序和评定成交的标准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18</w:t>
      </w:r>
      <w:r>
        <w:rPr>
          <w:rFonts w:hint="eastAsia" w:ascii="宋体" w:hAnsi="宋体" w:cs="宋体"/>
          <w:color w:val="auto"/>
          <w:szCs w:val="21"/>
          <w:highlight w:val="none"/>
        </w:rPr>
        <w:t>.1见第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章《评审程序和评定成交的标准》。</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color w:val="auto"/>
          <w:szCs w:val="21"/>
          <w:highlight w:val="none"/>
        </w:rPr>
      </w:pPr>
    </w:p>
    <w:p>
      <w:pPr>
        <w:keepNext w:val="0"/>
        <w:keepLines w:val="0"/>
        <w:pageBreakBefore w:val="0"/>
        <w:widowControl w:val="0"/>
        <w:kinsoku/>
        <w:wordWrap/>
        <w:overflowPunct/>
        <w:topLinePunct w:val="0"/>
        <w:autoSpaceDE/>
        <w:autoSpaceDN/>
        <w:bidi w:val="0"/>
        <w:snapToGrid/>
        <w:spacing w:line="440" w:lineRule="exact"/>
        <w:jc w:val="center"/>
        <w:textAlignment w:val="auto"/>
        <w:outlineLvl w:val="9"/>
        <w:rPr>
          <w:rFonts w:hint="eastAsia" w:ascii="宋体" w:hAnsi="宋体" w:eastAsia="宋体" w:cs="宋体"/>
          <w:b/>
          <w:bCs/>
          <w:color w:val="auto"/>
          <w:szCs w:val="21"/>
          <w:highlight w:val="none"/>
          <w:lang w:eastAsia="zh-CN"/>
        </w:rPr>
      </w:pPr>
      <w:r>
        <w:rPr>
          <w:rFonts w:hint="eastAsia" w:ascii="宋体" w:hAnsi="宋体" w:cs="宋体"/>
          <w:b/>
          <w:bCs/>
          <w:color w:val="auto"/>
          <w:sz w:val="28"/>
          <w:szCs w:val="28"/>
          <w:highlight w:val="none"/>
        </w:rPr>
        <w:t>六   确定</w:t>
      </w:r>
      <w:r>
        <w:rPr>
          <w:rFonts w:hint="eastAsia" w:ascii="宋体" w:hAnsi="宋体" w:cs="宋体"/>
          <w:b/>
          <w:bCs/>
          <w:color w:val="auto"/>
          <w:sz w:val="28"/>
          <w:szCs w:val="28"/>
          <w:highlight w:val="none"/>
          <w:lang w:val="en-US" w:eastAsia="zh-CN"/>
        </w:rPr>
        <w:t>成交</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val="en-US" w:eastAsia="zh-CN"/>
        </w:rPr>
        <w:t>19</w:t>
      </w:r>
      <w:r>
        <w:rPr>
          <w:rFonts w:hint="eastAsia" w:ascii="宋体" w:hAnsi="宋体" w:cs="宋体"/>
          <w:b/>
          <w:bCs/>
          <w:color w:val="auto"/>
          <w:szCs w:val="21"/>
          <w:highlight w:val="none"/>
        </w:rPr>
        <w:t xml:space="preserve"> 确定</w:t>
      </w:r>
      <w:r>
        <w:rPr>
          <w:rFonts w:hint="eastAsia" w:ascii="宋体" w:hAnsi="宋体" w:cs="宋体"/>
          <w:b/>
          <w:bCs/>
          <w:color w:val="auto"/>
          <w:szCs w:val="21"/>
          <w:highlight w:val="none"/>
          <w:lang w:eastAsia="zh-CN"/>
        </w:rPr>
        <w:t>成交供应商</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19</w:t>
      </w:r>
      <w:r>
        <w:rPr>
          <w:rFonts w:hint="eastAsia" w:ascii="宋体" w:hAnsi="宋体" w:cs="宋体"/>
          <w:color w:val="auto"/>
          <w:szCs w:val="21"/>
          <w:highlight w:val="none"/>
        </w:rPr>
        <w:t>.1采购人将从评审报告提出的成交候选人中，根据质量和服务均能满足采购文件实质性响应要求且最终报价</w:t>
      </w:r>
      <w:r>
        <w:rPr>
          <w:rFonts w:hint="eastAsia" w:ascii="宋体" w:hAnsi="宋体" w:cs="宋体"/>
          <w:color w:val="auto"/>
          <w:szCs w:val="21"/>
          <w:highlight w:val="none"/>
          <w:lang w:val="en-US" w:eastAsia="zh-CN"/>
        </w:rPr>
        <w:t>上浮率最高</w:t>
      </w:r>
      <w:r>
        <w:rPr>
          <w:rFonts w:hint="eastAsia" w:ascii="宋体" w:hAnsi="宋体" w:cs="宋体"/>
          <w:color w:val="auto"/>
          <w:szCs w:val="21"/>
          <w:highlight w:val="none"/>
        </w:rPr>
        <w:t>的原则确定成交供应商。成交候选人并列的，由采购人依法确定。</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0</w:t>
      </w:r>
      <w:r>
        <w:rPr>
          <w:rFonts w:hint="eastAsia" w:ascii="宋体" w:hAnsi="宋体" w:cs="宋体"/>
          <w:b/>
          <w:bCs/>
          <w:color w:val="auto"/>
          <w:szCs w:val="21"/>
          <w:highlight w:val="none"/>
        </w:rPr>
        <w:t xml:space="preserve"> 成交公告与成交通知书</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20.1采购人或采购代理机构自成交供应商确定后2个工作日内，在常州市政府采购网公告成交结果，同时向成交供应商发出成交通知书，成交公告期限为1个工作日。</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20.2</w:t>
      </w:r>
      <w:r>
        <w:rPr>
          <w:rFonts w:hint="eastAsia" w:ascii="宋体" w:hAnsi="宋体" w:cs="宋体"/>
          <w:color w:val="auto"/>
          <w:szCs w:val="21"/>
          <w:highlight w:val="none"/>
        </w:rPr>
        <w:t>成交通知书对采购人和成交供应商具有同等法律效力。成交通知书发出后，采购人改变成交结果的，或者成交供应商放弃成交项目的，应当依法承担法律责任。</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 xml:space="preserve"> </w:t>
      </w:r>
      <w:r>
        <w:rPr>
          <w:rFonts w:hint="eastAsia" w:ascii="宋体" w:hAnsi="宋体" w:cs="宋体"/>
          <w:b/>
          <w:bCs/>
          <w:color w:val="auto"/>
          <w:szCs w:val="21"/>
          <w:highlight w:val="none"/>
          <w:lang w:val="en-US" w:eastAsia="zh-CN"/>
        </w:rPr>
        <w:t>终止</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21.1</w:t>
      </w:r>
      <w:r>
        <w:rPr>
          <w:rFonts w:ascii="宋体" w:hAnsi="宋体" w:cs="宋体"/>
          <w:color w:val="auto"/>
          <w:szCs w:val="21"/>
          <w:highlight w:val="none"/>
        </w:rPr>
        <w:t>出现下列情形之一的，采购人或采购代理机构应当终止竞争性谈判采购活动，发布项目终止公告并说明原因，重新开展采购活动：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21.1.1因情况变化，不再符合规定的竞争性谈判采购方式适用情形的；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21.1.2出现影响采购公正的违法、违规行为的；</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21.1.3在采购过程中符合竞争要求的供应商或者报价未超过采购预算的供应商不足3家的，但公开招标的货物、服务采购项目，经财政部门批准后可以与两家供应商进行竞争性谈判采购的情形除外。</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 xml:space="preserve"> 签订合同</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22.1采购人与成交供应商将在成交通知书发出之日起30日内，按照谈判文件确定的合同文本以及采购标的、规格型号、采购金额、采购数量、技术和服务要求等事项签订政府采购合同。</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22.2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22.3联合体成交的，联合体各方应当共同与采购人签订合同，就成交项目向采购人承担连带责任。</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22.4政府采购合同不能转包。</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22.5</w:t>
      </w:r>
      <w:r>
        <w:rPr>
          <w:rFonts w:hint="eastAsia" w:ascii="宋体" w:hAnsi="宋体" w:cs="宋体"/>
          <w:color w:val="auto"/>
          <w:szCs w:val="21"/>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否则响应无效。成交供应商就采购项目和分包项目向采购人负责，分包供应商就分包项目承担责任。</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 xml:space="preserve"> 质疑</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23.2.1供应商认为谈判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23.2.2谈判文件中采购需求以及相关部分（第四章、第五章以及供应商资格要求）由采购人负责制定和管理，对该部分内容有询问或者质疑的，供应商应当向采购人书面提出，由采购人负责接收和回复。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23.2.3质疑函须使用财政部制定的范本文件。（下载网址：</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http://gks.mof.gov.cn/ztztz/zhengfucaigouguanli/201802/t20180201_2804589.htm）</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23.2.4供应商为自然人的，应当由本人签字；供应商为法人或者其他组织的，应当由法定代表人、主要负责人，或者其授权代表签字或者盖章，并加盖公章。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23.2.5供应商应在法定质疑期内一次性提出针对同一采购程序环节的质疑，法定质疑期内针对同一采购程序环节再次提出的质疑，采购人、采购代理机构有权不予答复。</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Cs w:val="21"/>
          <w:highlight w:val="none"/>
        </w:rPr>
      </w:pPr>
      <w:r>
        <w:rPr>
          <w:rFonts w:hint="eastAsia" w:ascii="宋体" w:hAnsi="宋体" w:cs="宋体"/>
          <w:color w:val="auto"/>
          <w:szCs w:val="21"/>
          <w:highlight w:val="none"/>
          <w:lang w:val="en-US" w:eastAsia="zh-CN"/>
        </w:rPr>
        <w:t>23.2.6</w:t>
      </w:r>
      <w:r>
        <w:rPr>
          <w:rFonts w:hint="eastAsia" w:ascii="宋体" w:hAnsi="宋体" w:cs="宋体"/>
          <w:color w:val="auto"/>
          <w:szCs w:val="21"/>
          <w:highlight w:val="none"/>
        </w:rPr>
        <w:t>接收询问和质疑的联系部门、联系电话和通讯地址见《供应商须知资料表》。</w:t>
      </w:r>
    </w:p>
    <w:p>
      <w:pPr>
        <w:keepNext w:val="0"/>
        <w:keepLines w:val="0"/>
        <w:pageBreakBefore w:val="0"/>
        <w:widowControl w:val="0"/>
        <w:kinsoku/>
        <w:wordWrap/>
        <w:overflowPunct/>
        <w:topLinePunct w:val="0"/>
        <w:autoSpaceDE/>
        <w:autoSpaceDN/>
        <w:bidi w:val="0"/>
        <w:snapToGrid/>
        <w:spacing w:line="440" w:lineRule="exact"/>
        <w:textAlignment w:val="auto"/>
        <w:outlineLvl w:val="9"/>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代理费</w:t>
      </w:r>
    </w:p>
    <w:p>
      <w:pPr>
        <w:keepNext w:val="0"/>
        <w:keepLines w:val="0"/>
        <w:pageBreakBefore w:val="0"/>
        <w:widowControl w:val="0"/>
        <w:kinsoku/>
        <w:wordWrap/>
        <w:overflowPunct/>
        <w:topLinePunct w:val="0"/>
        <w:autoSpaceDE/>
        <w:autoSpaceDN/>
        <w:bidi w:val="0"/>
        <w:adjustRightInd w:val="0"/>
        <w:snapToGrid/>
        <w:spacing w:line="440" w:lineRule="exact"/>
        <w:ind w:firstLine="420" w:firstLineChars="200"/>
        <w:textAlignment w:val="auto"/>
        <w:outlineLvl w:val="9"/>
        <w:rPr>
          <w:rFonts w:ascii="宋体" w:hAnsi="宋体" w:cs="宋体"/>
          <w:color w:val="auto"/>
          <w:sz w:val="24"/>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.1收费对象、收费标准及缴纳时间见《</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须知资料表》。由</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支付的，</w:t>
      </w:r>
      <w:r>
        <w:rPr>
          <w:rFonts w:hint="eastAsia" w:ascii="宋体" w:hAnsi="宋体" w:cs="宋体"/>
          <w:color w:val="auto"/>
          <w:szCs w:val="21"/>
          <w:highlight w:val="none"/>
          <w:lang w:eastAsia="zh-CN"/>
        </w:rPr>
        <w:t>成交供应商</w:t>
      </w:r>
      <w:r>
        <w:rPr>
          <w:rFonts w:hint="eastAsia" w:ascii="宋体" w:hAnsi="宋体" w:cs="宋体"/>
          <w:color w:val="auto"/>
          <w:szCs w:val="21"/>
          <w:highlight w:val="none"/>
        </w:rPr>
        <w:t>须一次性向采购代理机构缴纳代理费，报价应包含代理费用。</w:t>
      </w:r>
    </w:p>
    <w:p>
      <w:pPr>
        <w:spacing w:line="360" w:lineRule="auto"/>
        <w:jc w:val="center"/>
        <w:outlineLvl w:val="0"/>
        <w:rPr>
          <w:rFonts w:hint="eastAsia" w:ascii="宋体" w:hAnsi="宋体" w:cs="宋体"/>
          <w:b/>
          <w:color w:val="auto"/>
          <w:sz w:val="32"/>
          <w:szCs w:val="32"/>
          <w:highlight w:val="none"/>
        </w:rPr>
      </w:pPr>
      <w:bookmarkStart w:id="3" w:name="_Toc28643"/>
      <w:r>
        <w:rPr>
          <w:rFonts w:hint="eastAsia" w:ascii="宋体" w:hAnsi="宋体" w:cs="宋体"/>
          <w:b/>
          <w:color w:val="auto"/>
          <w:sz w:val="32"/>
          <w:szCs w:val="32"/>
          <w:highlight w:val="none"/>
        </w:rPr>
        <w:t>第三章</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评审程序和评定成交的标准</w:t>
      </w:r>
      <w:bookmarkEnd w:id="3"/>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1响应文件的资格审查和符合性审查</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1.1谈判小组将根据《资格审查要求》和《符合性审查要求》中规定的内容，对供应商进行审查，并形成审查结果。供应商《响应文件》有任何一项不符合《资格审查要求》的，视为未实质性响应谈判文件。未实质性响应谈判文件的响应文件按无效处理，谈判小组应当告知有关供应商。</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1.2《资格审查要求》中对格式有要求的，除谈判文件另有规定外，均为“实质性格式”文件。</w:t>
      </w:r>
    </w:p>
    <w:p>
      <w:pPr>
        <w:keepNext w:val="0"/>
        <w:keepLines w:val="0"/>
        <w:pageBreakBefore w:val="0"/>
        <w:widowControl w:val="0"/>
        <w:tabs>
          <w:tab w:val="left" w:pos="426"/>
          <w:tab w:val="left" w:pos="851"/>
        </w:tabs>
        <w:kinsoku/>
        <w:wordWrap/>
        <w:overflowPunct/>
        <w:topLinePunct w:val="0"/>
        <w:autoSpaceDE/>
        <w:autoSpaceDN/>
        <w:bidi w:val="0"/>
        <w:adjustRightInd/>
        <w:snapToGrid/>
        <w:spacing w:line="440" w:lineRule="exact"/>
        <w:textAlignment w:val="auto"/>
        <w:outlineLvl w:val="9"/>
        <w:rPr>
          <w:rFonts w:ascii="宋体" w:hAnsi="宋体" w:cs="宋体"/>
          <w:b/>
          <w:color w:val="auto"/>
          <w:sz w:val="28"/>
          <w:szCs w:val="28"/>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《资格审查要求》见下表：</w:t>
      </w:r>
    </w:p>
    <w:p>
      <w:pPr>
        <w:tabs>
          <w:tab w:val="left" w:pos="360"/>
          <w:tab w:val="left" w:pos="900"/>
        </w:tabs>
        <w:snapToGrid w:val="0"/>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资格审查要求</w:t>
      </w:r>
    </w:p>
    <w:tbl>
      <w:tblPr>
        <w:tblStyle w:val="17"/>
        <w:tblW w:w="49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977"/>
        <w:gridCol w:w="4265"/>
        <w:gridCol w:w="15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398"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1165"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审查因素</w:t>
            </w:r>
          </w:p>
        </w:tc>
        <w:tc>
          <w:tcPr>
            <w:tcW w:w="2514"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审查内容</w:t>
            </w:r>
          </w:p>
        </w:tc>
        <w:tc>
          <w:tcPr>
            <w:tcW w:w="920" w:type="pct"/>
            <w:vAlign w:val="center"/>
          </w:tcPr>
          <w:p>
            <w:pPr>
              <w:tabs>
                <w:tab w:val="left" w:pos="1080"/>
              </w:tabs>
              <w:snapToGrid w:val="0"/>
              <w:spacing w:beforeLines="35" w:afterLines="35"/>
              <w:jc w:val="center"/>
              <w:rPr>
                <w:rFonts w:ascii="宋体" w:hAnsi="宋体" w:cs="宋体"/>
                <w:b/>
                <w:color w:val="auto"/>
                <w:szCs w:val="21"/>
                <w:highlight w:val="none"/>
              </w:rPr>
            </w:pPr>
            <w:r>
              <w:rPr>
                <w:rFonts w:hint="eastAsia" w:ascii="宋体" w:hAnsi="宋体" w:cs="宋体"/>
                <w:b/>
                <w:color w:val="auto"/>
                <w:szCs w:val="21"/>
                <w:highlight w:val="none"/>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b/>
                <w:bCs/>
                <w:color w:val="auto"/>
                <w:szCs w:val="21"/>
                <w:highlight w:val="none"/>
              </w:rPr>
              <w:t>1</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满足《中华人民共和国政府采购法》第二十二条规定及法律法规的其他规定</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具体规定见第一章《</w:t>
            </w:r>
            <w:r>
              <w:rPr>
                <w:rFonts w:hint="eastAsia" w:ascii="宋体" w:hAnsi="宋体" w:cs="宋体"/>
                <w:color w:val="auto"/>
                <w:szCs w:val="21"/>
                <w:highlight w:val="none"/>
                <w:lang w:eastAsia="zh-CN"/>
              </w:rPr>
              <w:t>采购邀请</w:t>
            </w:r>
            <w:r>
              <w:rPr>
                <w:rFonts w:hint="eastAsia" w:ascii="宋体" w:hAnsi="宋体" w:cs="宋体"/>
                <w:color w:val="auto"/>
                <w:szCs w:val="21"/>
                <w:highlight w:val="none"/>
              </w:rPr>
              <w:t>》</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1-1</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营业执照</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有效的法人或者其他组织的营业执照等证明文件</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1-2</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资格声明函</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提供了符合</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资格声明函》。</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格式见《</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1-3</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信用记录</w:t>
            </w:r>
          </w:p>
        </w:tc>
        <w:tc>
          <w:tcPr>
            <w:tcW w:w="2514" w:type="pct"/>
            <w:vAlign w:val="center"/>
          </w:tcPr>
          <w:p>
            <w:pPr>
              <w:tabs>
                <w:tab w:val="left" w:pos="1080"/>
              </w:tabs>
              <w:snapToGrid w:val="0"/>
              <w:spacing w:beforeLines="35" w:afterLines="35"/>
              <w:rPr>
                <w:rFonts w:hint="eastAsia" w:ascii="宋体" w:hAnsi="宋体" w:cs="宋体"/>
                <w:color w:val="auto"/>
                <w:szCs w:val="21"/>
                <w:highlight w:val="none"/>
              </w:rPr>
            </w:pPr>
            <w:r>
              <w:rPr>
                <w:rFonts w:hint="eastAsia" w:ascii="宋体" w:hAnsi="宋体" w:cs="宋体"/>
                <w:color w:val="auto"/>
                <w:szCs w:val="21"/>
                <w:highlight w:val="none"/>
              </w:rPr>
              <w:t>查询渠道：信用中国网站和中国政府采购网（www.creditchina.gov.cn、www.ccgp.gov.cn）；</w:t>
            </w:r>
          </w:p>
          <w:p>
            <w:pPr>
              <w:tabs>
                <w:tab w:val="left" w:pos="1080"/>
              </w:tabs>
              <w:snapToGrid w:val="0"/>
              <w:spacing w:beforeLines="35" w:afterLines="35"/>
              <w:rPr>
                <w:rFonts w:hint="eastAsia" w:ascii="宋体" w:hAnsi="宋体" w:cs="宋体"/>
                <w:color w:val="auto"/>
                <w:szCs w:val="21"/>
                <w:highlight w:val="none"/>
              </w:rPr>
            </w:pPr>
            <w:r>
              <w:rPr>
                <w:rFonts w:hint="eastAsia" w:ascii="宋体" w:hAnsi="宋体" w:cs="宋体"/>
                <w:color w:val="auto"/>
                <w:szCs w:val="21"/>
                <w:highlight w:val="none"/>
              </w:rPr>
              <w:t>截止时点：提交响应文件截止时间以后、资格审查阶段采购人或采购代理机构的实际查询时间；</w:t>
            </w:r>
          </w:p>
          <w:p>
            <w:pPr>
              <w:tabs>
                <w:tab w:val="left" w:pos="1080"/>
              </w:tabs>
              <w:snapToGrid w:val="0"/>
              <w:spacing w:beforeLines="35" w:afterLines="35"/>
              <w:rPr>
                <w:rFonts w:hint="eastAsia" w:ascii="宋体" w:hAnsi="宋体" w:cs="宋体"/>
                <w:color w:val="auto"/>
                <w:szCs w:val="21"/>
                <w:highlight w:val="none"/>
              </w:rPr>
            </w:pPr>
            <w:r>
              <w:rPr>
                <w:rFonts w:hint="eastAsia" w:ascii="宋体" w:hAnsi="宋体" w:cs="宋体"/>
                <w:color w:val="auto"/>
                <w:szCs w:val="21"/>
                <w:highlight w:val="none"/>
              </w:rPr>
              <w:t>信用信息查询记录和证据留存具体方式：查询结果网页打印页作为查询记录和证据，与其他采购文件一并保存；</w:t>
            </w:r>
          </w:p>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信用信息的使用原则：经认定的被列入失信被执行人、重大税收违法案件当事人名单、政府采购严重违法失信行为记录名单的供应商，其响应无效。联合体形式响应的，联合体成员存在不良信用记录，视同联合体存在不良信用记录。</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无须</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提供，由采购人查询。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b/>
                <w:bCs/>
                <w:color w:val="auto"/>
                <w:szCs w:val="21"/>
                <w:highlight w:val="none"/>
              </w:rPr>
              <w:t>2</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落实政府采购政策需满足的资格要求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ascii="宋体" w:hAnsi="宋体" w:cs="宋体"/>
                <w:color w:val="auto"/>
                <w:szCs w:val="21"/>
                <w:highlight w:val="none"/>
              </w:rPr>
              <w:t>见第一章《采购邀请》</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2-1</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其它落实政府采购政策的资格要求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u w:val="single"/>
              </w:rPr>
              <w:t xml:space="preserve">  /  </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b/>
                <w:bCs/>
                <w:color w:val="auto"/>
                <w:szCs w:val="21"/>
                <w:highlight w:val="none"/>
              </w:rPr>
              <w:t>3</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本项目的特定资格要求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ascii="宋体" w:hAnsi="宋体" w:cs="宋体"/>
                <w:color w:val="auto"/>
                <w:szCs w:val="21"/>
                <w:highlight w:val="none"/>
              </w:rPr>
              <w:t>见第一章《采购邀请》</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3-1</w:t>
            </w:r>
          </w:p>
        </w:tc>
        <w:tc>
          <w:tcPr>
            <w:tcW w:w="1165" w:type="pct"/>
            <w:vAlign w:val="center"/>
          </w:tcPr>
          <w:p>
            <w:pPr>
              <w:tabs>
                <w:tab w:val="left" w:pos="1080"/>
              </w:tabs>
              <w:snapToGrid w:val="0"/>
              <w:spacing w:beforeLines="35" w:afterLines="35"/>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是否接受联合体</w:t>
            </w:r>
            <w:r>
              <w:rPr>
                <w:rFonts w:hint="eastAsia" w:ascii="宋体" w:hAnsi="宋体" w:cs="宋体"/>
                <w:color w:val="auto"/>
                <w:szCs w:val="21"/>
                <w:highlight w:val="none"/>
                <w:lang w:eastAsia="zh-CN"/>
              </w:rPr>
              <w:t>响应</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ascii="宋体" w:hAnsi="宋体" w:cs="宋体"/>
                <w:color w:val="auto"/>
                <w:szCs w:val="21"/>
                <w:highlight w:val="none"/>
              </w:rPr>
              <w:t>本项目不接受联合体响应，</w:t>
            </w:r>
            <w:r>
              <w:rPr>
                <w:rFonts w:hint="eastAsia" w:ascii="宋体" w:hAnsi="宋体" w:cs="宋体"/>
                <w:color w:val="auto"/>
                <w:szCs w:val="21"/>
                <w:highlight w:val="none"/>
              </w:rPr>
              <w:t>供应商不得为联合体</w:t>
            </w:r>
            <w:r>
              <w:rPr>
                <w:rFonts w:ascii="宋体" w:hAnsi="宋体" w:cs="宋体"/>
                <w:color w:val="auto"/>
                <w:szCs w:val="21"/>
                <w:highlight w:val="none"/>
              </w:rPr>
              <w:t>。</w:t>
            </w:r>
          </w:p>
        </w:tc>
        <w:tc>
          <w:tcPr>
            <w:tcW w:w="920" w:type="pct"/>
            <w:vAlign w:val="center"/>
          </w:tcPr>
          <w:p>
            <w:pPr>
              <w:tabs>
                <w:tab w:val="left" w:pos="1080"/>
              </w:tabs>
              <w:snapToGrid w:val="0"/>
              <w:spacing w:beforeLines="35" w:afterLines="35"/>
              <w:rPr>
                <w:rFonts w:ascii="宋体" w:hAnsi="宋体" w:cs="宋体"/>
                <w:color w:val="auto"/>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4" w:hRule="atLeast"/>
        </w:trPr>
        <w:tc>
          <w:tcPr>
            <w:tcW w:w="398" w:type="pct"/>
            <w:vAlign w:val="center"/>
          </w:tcPr>
          <w:p>
            <w:pPr>
              <w:tabs>
                <w:tab w:val="left" w:pos="1080"/>
              </w:tabs>
              <w:snapToGrid w:val="0"/>
              <w:spacing w:beforeLines="35" w:afterLines="35"/>
              <w:jc w:val="center"/>
              <w:rPr>
                <w:rFonts w:ascii="宋体" w:hAnsi="宋体" w:cs="宋体"/>
                <w:color w:val="auto"/>
                <w:szCs w:val="21"/>
                <w:highlight w:val="none"/>
              </w:rPr>
            </w:pPr>
            <w:r>
              <w:rPr>
                <w:rFonts w:hint="eastAsia" w:ascii="宋体" w:hAnsi="宋体" w:cs="宋体"/>
                <w:color w:val="auto"/>
                <w:szCs w:val="21"/>
                <w:highlight w:val="none"/>
              </w:rPr>
              <w:t>3-2</w:t>
            </w:r>
          </w:p>
        </w:tc>
        <w:tc>
          <w:tcPr>
            <w:tcW w:w="1165"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其他特定资格要求</w:t>
            </w:r>
          </w:p>
        </w:tc>
        <w:tc>
          <w:tcPr>
            <w:tcW w:w="2514"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cs="宋体"/>
                <w:color w:val="auto"/>
                <w:szCs w:val="21"/>
                <w:highlight w:val="none"/>
              </w:rPr>
              <w:t>具有有效的《食品经营许可证》。</w:t>
            </w:r>
          </w:p>
        </w:tc>
        <w:tc>
          <w:tcPr>
            <w:tcW w:w="920" w:type="pct"/>
            <w:vAlign w:val="center"/>
          </w:tcPr>
          <w:p>
            <w:pPr>
              <w:tabs>
                <w:tab w:val="left" w:pos="1080"/>
              </w:tabs>
              <w:snapToGrid w:val="0"/>
              <w:spacing w:beforeLines="35" w:afterLines="35"/>
              <w:rPr>
                <w:rFonts w:ascii="宋体" w:hAnsi="宋体" w:cs="宋体"/>
                <w:color w:val="auto"/>
                <w:szCs w:val="21"/>
                <w:highlight w:val="none"/>
              </w:rPr>
            </w:pPr>
            <w:r>
              <w:rPr>
                <w:rFonts w:hint="eastAsia" w:ascii="宋体" w:hAnsi="宋体" w:eastAsia="宋体" w:cs="宋体"/>
                <w:color w:val="auto"/>
                <w:sz w:val="21"/>
                <w:szCs w:val="21"/>
                <w:highlight w:val="none"/>
                <w:lang w:val="en-US" w:eastAsia="zh-CN"/>
              </w:rPr>
              <w:t>提供证明文件的复印件</w:t>
            </w:r>
          </w:p>
        </w:tc>
      </w:tr>
    </w:tbl>
    <w:p>
      <w:pPr>
        <w:spacing w:line="360" w:lineRule="auto"/>
        <w:rPr>
          <w:rFonts w:ascii="宋体" w:hAnsi="宋体" w:cs="宋体"/>
          <w:bCs/>
          <w:color w:val="auto"/>
          <w:szCs w:val="21"/>
          <w:highlight w:val="none"/>
        </w:rPr>
      </w:pP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《符合性审查要求》见下表：</w:t>
      </w:r>
    </w:p>
    <w:p>
      <w:pPr>
        <w:tabs>
          <w:tab w:val="left" w:pos="900"/>
          <w:tab w:val="left" w:pos="1080"/>
          <w:tab w:val="left" w:pos="1589"/>
        </w:tabs>
        <w:snapToGrid w:val="0"/>
        <w:spacing w:line="360" w:lineRule="auto"/>
        <w:ind w:leftChars="-170" w:hanging="357" w:hangingChars="148"/>
        <w:jc w:val="center"/>
        <w:rPr>
          <w:rFonts w:ascii="宋体" w:hAnsi="宋体" w:cs="宋体"/>
          <w:b/>
          <w:color w:val="auto"/>
          <w:sz w:val="24"/>
          <w:highlight w:val="none"/>
        </w:rPr>
      </w:pPr>
      <w:r>
        <w:rPr>
          <w:rFonts w:hint="eastAsia" w:ascii="宋体" w:hAnsi="宋体" w:cs="宋体"/>
          <w:b/>
          <w:color w:val="auto"/>
          <w:sz w:val="24"/>
          <w:highlight w:val="none"/>
        </w:rPr>
        <w:t>符合性审查要求</w:t>
      </w:r>
    </w:p>
    <w:tbl>
      <w:tblPr>
        <w:tblStyle w:val="17"/>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2376"/>
        <w:gridCol w:w="6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8" w:type="pct"/>
            <w:vAlign w:val="center"/>
          </w:tcPr>
          <w:p>
            <w:pPr>
              <w:widowControl/>
              <w:spacing w:beforeLines="35" w:afterLines="35"/>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294" w:type="pct"/>
            <w:vAlign w:val="center"/>
          </w:tcPr>
          <w:p>
            <w:pPr>
              <w:widowControl/>
              <w:spacing w:beforeLines="35" w:afterLines="35"/>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审查因素</w:t>
            </w:r>
          </w:p>
        </w:tc>
        <w:tc>
          <w:tcPr>
            <w:tcW w:w="3306" w:type="pct"/>
            <w:vAlign w:val="center"/>
          </w:tcPr>
          <w:p>
            <w:pPr>
              <w:widowControl/>
              <w:spacing w:beforeLines="35" w:afterLines="35"/>
              <w:jc w:val="center"/>
              <w:rPr>
                <w:rFonts w:ascii="宋体" w:hAnsi="宋体" w:cs="宋体"/>
                <w:b/>
                <w:color w:val="auto"/>
                <w:kern w:val="0"/>
                <w:szCs w:val="21"/>
                <w:highlight w:val="none"/>
              </w:rPr>
            </w:pPr>
            <w:r>
              <w:rPr>
                <w:rFonts w:hint="eastAsia" w:ascii="宋体" w:hAnsi="宋体" w:cs="宋体"/>
                <w:b/>
                <w:color w:val="auto"/>
                <w:kern w:val="0"/>
                <w:szCs w:val="21"/>
                <w:highlight w:val="none"/>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0"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函、</w:t>
            </w:r>
            <w:r>
              <w:rPr>
                <w:rFonts w:hint="eastAsia" w:ascii="宋体" w:hAnsi="宋体" w:cs="宋体"/>
                <w:color w:val="auto"/>
                <w:szCs w:val="21"/>
                <w:highlight w:val="none"/>
              </w:rPr>
              <w:t>法定代表人资格证明书、授权委托书（如有）和政府采购供应商信用承诺书</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按</w:t>
            </w:r>
            <w:r>
              <w:rPr>
                <w:rFonts w:hint="eastAsia" w:ascii="宋体" w:hAnsi="宋体" w:cs="宋体"/>
                <w:color w:val="auto"/>
                <w:kern w:val="0"/>
                <w:szCs w:val="21"/>
                <w:highlight w:val="none"/>
                <w:lang w:eastAsia="zh-CN"/>
              </w:rPr>
              <w:t>谈判文件</w:t>
            </w:r>
            <w:r>
              <w:rPr>
                <w:rFonts w:hint="eastAsia" w:ascii="宋体" w:hAnsi="宋体" w:cs="宋体"/>
                <w:color w:val="auto"/>
                <w:kern w:val="0"/>
                <w:szCs w:val="21"/>
                <w:highlight w:val="none"/>
              </w:rPr>
              <w:t>要求提供响应函、</w:t>
            </w:r>
            <w:r>
              <w:rPr>
                <w:rFonts w:hint="eastAsia" w:ascii="宋体" w:hAnsi="宋体" w:cs="宋体"/>
                <w:color w:val="auto"/>
                <w:szCs w:val="21"/>
                <w:highlight w:val="none"/>
              </w:rPr>
              <w:t>法定代表人资格证明书、授权委托书（如有）和政府采购供应商信用承诺书</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响应完整性</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未将一个采购包中的内容拆开响应；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响应报价未超过谈判文件中规定的项目/采购包预算金额或者项目/采购包最高限价；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报价唯一性</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响应文件未出现可选择性或可调整的报价（谈判文件另有规定的除外）；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响应有效期</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响应文件中承诺的响应有效期满足谈判文件中载明的响应有效期的；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签署、加盖公章</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按照谈判文件要求签署、加盖公章的；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实质性格式</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标记为“实质性格式”的文件均按谈判文件要求提供；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★号条款响应</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响应文件满足谈判文件第五章《采购需求》中★号条款要求的；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分包承担主体资质</w:t>
            </w:r>
          </w:p>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分包承担主体具备《供应商须知资料表》载明的资质条件且提供了资质证书</w:t>
            </w:r>
            <w:r>
              <w:rPr>
                <w:rFonts w:hint="eastAsia" w:ascii="宋体" w:hAnsi="宋体" w:cs="宋体"/>
                <w:color w:val="auto"/>
                <w:kern w:val="0"/>
                <w:szCs w:val="21"/>
                <w:highlight w:val="none"/>
                <w:lang w:val="en-US" w:eastAsia="zh-CN"/>
              </w:rPr>
              <w:t>复印件</w:t>
            </w:r>
            <w:r>
              <w:rPr>
                <w:rFonts w:hint="eastAsia" w:ascii="宋体" w:hAnsi="宋体" w:cs="宋体"/>
                <w:color w:val="auto"/>
                <w:kern w:val="0"/>
                <w:szCs w:val="21"/>
                <w:highlight w:val="none"/>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分包意向协议</w:t>
            </w:r>
          </w:p>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按谈判文件规定签订并提供分包意向协议</w:t>
            </w:r>
            <w:r>
              <w:rPr>
                <w:rFonts w:hint="eastAsia" w:ascii="宋体" w:hAnsi="宋体" w:cs="宋体"/>
                <w:color w:val="auto"/>
                <w:kern w:val="0"/>
                <w:szCs w:val="21"/>
                <w:highlight w:val="none"/>
                <w:lang w:val="en-US" w:eastAsia="zh-CN"/>
              </w:rPr>
              <w:t>复印件</w:t>
            </w:r>
            <w:r>
              <w:rPr>
                <w:rFonts w:hint="eastAsia" w:ascii="宋体" w:hAnsi="宋体" w:cs="宋体"/>
                <w:color w:val="auto"/>
                <w:kern w:val="0"/>
                <w:szCs w:val="21"/>
                <w:highlight w:val="none"/>
              </w:rPr>
              <w:t>的；（如有）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报价的修正（如有）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不涉及报价修正，或响应文件报价出现前后不一致时，供应商对修正后的报价予以确认；（如有）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294"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进口产品</w:t>
            </w:r>
          </w:p>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（如有）</w:t>
            </w:r>
          </w:p>
        </w:tc>
        <w:tc>
          <w:tcPr>
            <w:tcW w:w="3306" w:type="pct"/>
            <w:vAlign w:val="center"/>
          </w:tcPr>
          <w:p>
            <w:pPr>
              <w:widowControl/>
              <w:spacing w:beforeLines="35" w:afterLines="35"/>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谈判文件不接受进口产品响应的内容时，供应商所投产品非进口产品的；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产品有强制性规定或要求的</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国家有关部门对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产品有强制性规定或要求的（如相应技术、安全、节能和环保等），</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产品应符合相应规定或要求，并提供证明文件复印件：</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1）采购的产品若属于《节能产品政府采购品目清单》范围中政府强制采购产品，则</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所报产品必须获得国家确定的认证机构出具的、处于有效期之内的节能产品认证证书；</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产品如涉及计算机信息系统安全专用产品的，须提供公安部颁发的计算机信息系统安全专用产品销售许可证；</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响应</w:t>
            </w:r>
            <w:r>
              <w:rPr>
                <w:rFonts w:hint="eastAsia" w:ascii="宋体" w:hAnsi="宋体" w:cs="宋体"/>
                <w:color w:val="auto"/>
                <w:kern w:val="0"/>
                <w:szCs w:val="21"/>
                <w:highlight w:val="none"/>
              </w:rPr>
              <w:t>产品如有属于开展国家信息安全产品认证产品范围的，须提供由中国网络安全审查技术与认证中心（原中国信息安全认证中心）按国家标准认证颁发的有效认证证书等）；</w:t>
            </w:r>
          </w:p>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rPr>
              <w:t>4）国家有特殊信息安全要求的项目，采购产品涉及无线局域网产品和含有无线局域网功能的计算机、通信设备、打印机、复印机、投影仪等产品的，</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产品须为符合国家无线局域网安全标准（GB15629.11/1102）并通过国家产品认证的产品；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公平竞争</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遵循公平竞争的原则，不存在恶意串通，妨碍其他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的竞争行为，不存在损害采购人或者其他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1294" w:type="pct"/>
            <w:vAlign w:val="center"/>
          </w:tcPr>
          <w:p>
            <w:pPr>
              <w:widowControl/>
              <w:spacing w:beforeLines="35" w:afterLines="35"/>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串通</w:t>
            </w:r>
            <w:r>
              <w:rPr>
                <w:rFonts w:hint="eastAsia" w:ascii="宋体" w:hAnsi="宋体" w:cs="宋体"/>
                <w:color w:val="auto"/>
                <w:kern w:val="0"/>
                <w:szCs w:val="21"/>
                <w:highlight w:val="none"/>
                <w:lang w:eastAsia="zh-CN"/>
              </w:rPr>
              <w:t>响应</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rPr>
              <w:t>不存在《政府采购货物和服务招标</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管理办法》视为</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串通</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的情形：（一）不同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由同一单位或者个人编制；（二）不同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事宜；（三）不同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载明的项目管理成员或者联系人员为同一人；（四）不同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异常一致或者</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报价呈规律性差异；（五）不同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相互混装；（六）不同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w:t>
            </w:r>
            <w:r>
              <w:rPr>
                <w:rFonts w:hint="eastAsia" w:ascii="宋体" w:hAnsi="宋体" w:cs="宋体"/>
                <w:color w:val="auto"/>
                <w:szCs w:val="21"/>
                <w:highlight w:val="none"/>
                <w:lang w:eastAsia="zh-CN"/>
              </w:rPr>
              <w:t>保证金</w:t>
            </w:r>
            <w:r>
              <w:rPr>
                <w:rFonts w:hint="eastAsia" w:ascii="宋体" w:hAnsi="宋体" w:cs="宋体"/>
                <w:color w:val="auto"/>
                <w:szCs w:val="21"/>
                <w:highlight w:val="none"/>
              </w:rPr>
              <w:t>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附加条件</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响应文件</w:t>
            </w:r>
            <w:r>
              <w:rPr>
                <w:rFonts w:hint="eastAsia" w:ascii="宋体" w:hAnsi="宋体" w:cs="宋体"/>
                <w:color w:val="auto"/>
                <w:kern w:val="0"/>
                <w:szCs w:val="21"/>
                <w:highlight w:val="none"/>
              </w:rPr>
              <w:t>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398" w:type="pct"/>
            <w:vAlign w:val="center"/>
          </w:tcPr>
          <w:p>
            <w:pPr>
              <w:widowControl/>
              <w:spacing w:beforeLines="35" w:afterLines="35"/>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1294"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kern w:val="0"/>
                <w:szCs w:val="21"/>
                <w:highlight w:val="none"/>
              </w:rPr>
              <w:t>其他无效情形</w:t>
            </w:r>
          </w:p>
        </w:tc>
        <w:tc>
          <w:tcPr>
            <w:tcW w:w="3306" w:type="pct"/>
            <w:vAlign w:val="center"/>
          </w:tcPr>
          <w:p>
            <w:pPr>
              <w:widowControl/>
              <w:spacing w:beforeLines="35" w:afterLines="35"/>
              <w:jc w:val="left"/>
              <w:rPr>
                <w:rFonts w:ascii="宋体" w:hAnsi="宋体" w:cs="宋体"/>
                <w:color w:val="auto"/>
                <w:kern w:val="0"/>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不存在不符合法律、法规和</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规定的其他无效情形。</w:t>
            </w:r>
          </w:p>
        </w:tc>
      </w:tr>
    </w:tbl>
    <w:p>
      <w:pPr>
        <w:spacing w:line="360" w:lineRule="auto"/>
        <w:rPr>
          <w:rFonts w:ascii="宋体" w:hAnsi="宋体" w:cs="宋体"/>
          <w:b/>
          <w:bCs/>
          <w:color w:val="auto"/>
          <w:sz w:val="24"/>
          <w:highlight w:val="none"/>
        </w:rPr>
      </w:pP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 xml:space="preserve">2 </w:t>
      </w:r>
      <w:r>
        <w:rPr>
          <w:rFonts w:hint="eastAsia" w:ascii="宋体" w:hAnsi="宋体" w:cs="宋体"/>
          <w:b/>
          <w:bCs/>
          <w:color w:val="auto"/>
          <w:szCs w:val="21"/>
          <w:highlight w:val="none"/>
          <w:lang w:eastAsia="zh-CN"/>
        </w:rPr>
        <w:t>响应文件</w:t>
      </w:r>
      <w:r>
        <w:rPr>
          <w:rFonts w:hint="eastAsia" w:ascii="宋体" w:hAnsi="宋体" w:cs="宋体"/>
          <w:b/>
          <w:bCs/>
          <w:color w:val="auto"/>
          <w:szCs w:val="21"/>
          <w:highlight w:val="none"/>
        </w:rPr>
        <w:t>有关事项的澄清或者说明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2.1谈判小组所有成员将集中与单一供应商分别进行谈判，并给予所有参加谈判的供应商平等的谈判机会。在谈判中，谈判的任何一方不得透露与谈判有关的其他供应商的技术资料、价格和其他信息。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w:t>
      </w:r>
      <w:r>
        <w:rPr>
          <w:rFonts w:hint="eastAsia" w:ascii="宋体" w:hAnsi="宋体" w:cs="宋体"/>
          <w:color w:val="auto"/>
          <w:szCs w:val="21"/>
          <w:highlight w:val="none"/>
          <w:lang w:eastAsia="zh-CN"/>
        </w:rPr>
        <w:t>对谈判文件作出的实质性变动是谈判文件的有效组成部分，谈判小组将及时通过书面形式同时通知所有参加谈判的供应商。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w:t>
      </w:r>
      <w:r>
        <w:rPr>
          <w:rFonts w:hint="eastAsia" w:ascii="宋体" w:hAnsi="宋体" w:cs="宋体"/>
          <w:color w:val="auto"/>
          <w:szCs w:val="21"/>
          <w:highlight w:val="none"/>
          <w:lang w:eastAsia="zh-CN"/>
        </w:rPr>
        <w:t>供应商应当按照谈判文件的变动情况和谈判小组的要求重新提交响应文件，并由其法定代表人或授权代表签字或者加盖公章。由授权代表签字的，应当附授权委托书。供应商为自然人的，应当由本人签字并附身份证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2.5响应文件的澄清、说明或者更正：</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审过程中，谈判小组会将通过书面形式要求供应商对其响应文件中含义不明确、同类问题表述不一致或者有明显文字和计算错误的内容，作出必要的澄清、说明或者补正。供应商的澄清、说明或者补正应当采用书面形式。供应商的澄清、说明或者补正不得超出响应文件的范围或者改变响应文件的实质性内容。澄清文件将作为响应文件内容的一部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2.6评谈判结束后，谈判小组将要求所有实质性响应的供应商在规定时间内通过书面形式提交最终报价。</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谈判文件能够详细列明采购标的的技术、服务要求的，谈判结束后，谈判小组将要求所有继续参加谈判的供应商在规定时间内提交最终报价，提交最终报价的供应商不得少于3家。谈判文件不能详细列明采购标的的技术、服务要求，需经谈判由供应商提供最终设计方案或解决方案的，谈判结束后，谈判小组将按照少数服从多数的原则投票推荐3家以上供应商的设计方案或者解决方案，并要求其在规定时间内提交最终报价。</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8最终报价是供应商响应文件的有效组成部分。</w:t>
      </w:r>
    </w:p>
    <w:p>
      <w:pPr>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2.9已提交响应文件的供应商，在提交最终报价之前，可以根据谈判情况退出谈判。</w:t>
      </w:r>
    </w:p>
    <w:p>
      <w:pPr>
        <w:spacing w:line="360" w:lineRule="auto"/>
        <w:rPr>
          <w:rFonts w:ascii="宋体" w:hAnsi="宋体" w:cs="宋体"/>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 xml:space="preserve"> 最终报价的算术修正及政策调整</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3.1</w:t>
      </w:r>
      <w:r>
        <w:rPr>
          <w:rFonts w:hint="eastAsia" w:ascii="宋体" w:hAnsi="宋体" w:cs="宋体"/>
          <w:color w:val="auto"/>
          <w:szCs w:val="21"/>
          <w:highlight w:val="none"/>
        </w:rPr>
        <w:t>最终报价须包含谈判文件全部内容，如最终分项报价表有缺漏视为已含在其他各项报价中，将不对最终报价进行调整。谈判小组有权要求供应商在评审现场合理的时间内对此进行书面确认，供应商不确认的，视为将一个采购包中的内容拆开响应，其响应无效。</w:t>
      </w:r>
    </w:p>
    <w:p>
      <w:pPr>
        <w:spacing w:line="360" w:lineRule="auto"/>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3.2</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3.2.1</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对于报价修正是否另有规定：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□有，具体规定为：______________</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无，按下述</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项规定修正。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3.2.2大写金额和小写金额不一致的，以大写金额为准；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3.2.3单价金额小数点或者百分比有明显错位的，以总价为准，并修改单价；</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3.2.4总价金额与按单价汇总金额不一致的，以单价金额计算结果为准。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3.2.5</w:t>
      </w:r>
      <w:r>
        <w:rPr>
          <w:rFonts w:hint="eastAsia" w:ascii="宋体" w:hAnsi="宋体" w:cs="宋体"/>
          <w:color w:val="auto"/>
          <w:szCs w:val="21"/>
          <w:highlight w:val="none"/>
        </w:rPr>
        <w:t>同时出现两种以上不一致的，按照前款规定的顺序修正。修正后的报价经供应商书面确认后产生约束力，供应商不确认的，其响应无效。</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xml:space="preserve"> 谈判环节及提交最终报价后如出现以下情况的，供应商的响应文件无效：</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4.1供应商对实质性变动不予确认的；</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4.2不满足谈判文件★号条款或谈判文件技术指标超出谈判文件《采购需求》中主要技术参数允许偏差的最大范围的（如有）；</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4.3未按照谈判小组规定的时间、逾期提交最终报价的；</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4.4如供应商的最终报价超过谈判文件中规定的项目/采购包预算金额或者项目/采购包最高限价的；</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4.5响应文件中出现可选择性或可调整的报价的（谈判文件另有规定的除外）；</w:t>
      </w:r>
    </w:p>
    <w:p>
      <w:pPr>
        <w:spacing w:line="360" w:lineRule="auto"/>
        <w:ind w:firstLine="420" w:firstLineChars="200"/>
        <w:rPr>
          <w:rFonts w:hint="eastAsia" w:ascii="宋体" w:hAnsi="宋体" w:cs="宋体"/>
          <w:b w:val="0"/>
          <w:bCs/>
          <w:color w:val="auto"/>
          <w:szCs w:val="21"/>
          <w:highlight w:val="none"/>
        </w:rPr>
      </w:pPr>
      <w:r>
        <w:rPr>
          <w:rFonts w:hint="eastAsia" w:ascii="宋体" w:hAnsi="宋体" w:cs="宋体"/>
          <w:b w:val="0"/>
          <w:bCs/>
          <w:color w:val="auto"/>
          <w:szCs w:val="21"/>
          <w:highlight w:val="none"/>
        </w:rPr>
        <w:t>4.6最终报价出现前后不一致，供应商对修正后的报价不予确认的；</w:t>
      </w:r>
    </w:p>
    <w:p>
      <w:pPr>
        <w:spacing w:line="360" w:lineRule="auto"/>
        <w:ind w:firstLine="420" w:firstLineChars="200"/>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4.7</w:t>
      </w:r>
      <w:r>
        <w:rPr>
          <w:rFonts w:hint="eastAsia" w:ascii="宋体" w:hAnsi="宋体" w:cs="宋体"/>
          <w:b w:val="0"/>
          <w:bCs/>
          <w:color w:val="auto"/>
          <w:szCs w:val="21"/>
          <w:highlight w:val="none"/>
        </w:rPr>
        <w:t>其他：</w:t>
      </w:r>
      <w:r>
        <w:rPr>
          <w:rFonts w:hint="eastAsia" w:ascii="宋体" w:hAnsi="宋体" w:cs="宋体"/>
          <w:b w:val="0"/>
          <w:bCs/>
          <w:color w:val="auto"/>
          <w:szCs w:val="21"/>
          <w:highlight w:val="none"/>
          <w:u w:val="single"/>
          <w:lang w:val="en-US" w:eastAsia="zh-CN"/>
        </w:rPr>
        <w:t xml:space="preserve">  /  </w:t>
      </w:r>
      <w:r>
        <w:rPr>
          <w:rFonts w:hint="eastAsia" w:ascii="宋体" w:hAnsi="宋体" w:cs="宋体"/>
          <w:b w:val="0"/>
          <w:bCs/>
          <w:color w:val="auto"/>
          <w:szCs w:val="21"/>
          <w:highlight w:val="none"/>
        </w:rPr>
        <w:t>。</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xml:space="preserve"> 评定成交的标准与确定成交候选人名单</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5.1谈判小组将从质量和服务均能满足谈判文件实质性响应要求的供应商中，按照最终报价</w:t>
      </w:r>
      <w:r>
        <w:rPr>
          <w:rFonts w:hint="eastAsia" w:ascii="宋体" w:hAnsi="宋体" w:cs="宋体"/>
          <w:color w:val="auto"/>
          <w:szCs w:val="21"/>
          <w:highlight w:val="none"/>
          <w:lang w:val="en-US" w:eastAsia="zh-CN"/>
        </w:rPr>
        <w:t>优惠上浮率</w:t>
      </w:r>
      <w:r>
        <w:rPr>
          <w:rFonts w:hint="eastAsia" w:ascii="宋体" w:hAnsi="宋体" w:cs="宋体"/>
          <w:color w:val="auto"/>
          <w:szCs w:val="21"/>
          <w:highlight w:val="none"/>
        </w:rPr>
        <w:t>（如有按本章节进行算术修正或政策调整的，以修正或调整后的最终报价计算）由高到低的顺序提出不少于3名成交候选人，并编写评审报告。</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5.2</w:t>
      </w:r>
      <w:r>
        <w:rPr>
          <w:rFonts w:hint="eastAsia" w:ascii="宋体" w:hAnsi="宋体" w:cs="宋体"/>
          <w:color w:val="auto"/>
          <w:szCs w:val="21"/>
          <w:highlight w:val="none"/>
        </w:rPr>
        <w:t>谈判小组要对评审结果进行复核，特别是对排名第一的、响应文件被认定为无效的情形进行重点复核。</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cs="宋体"/>
          <w:b/>
          <w:bCs/>
          <w:color w:val="auto"/>
          <w:szCs w:val="21"/>
          <w:highlight w:val="none"/>
        </w:rPr>
        <w:t xml:space="preserve"> 报告违法行为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.1谈判小组在评审过程中发现供应商有行贿、提供虚假材料或者串通等违法行为时，有向采购人、采购代理机构或者有关部门报告的职责。</w:t>
      </w:r>
    </w:p>
    <w:p>
      <w:pPr>
        <w:outlineLvl w:val="9"/>
        <w:rPr>
          <w:rFonts w:ascii="宋体" w:hAnsi="宋体" w:cs="宋体"/>
          <w:color w:val="auto"/>
          <w:szCs w:val="21"/>
          <w:highlight w:val="none"/>
        </w:rPr>
      </w:pPr>
    </w:p>
    <w:p>
      <w:pPr>
        <w:tabs>
          <w:tab w:val="left" w:pos="360"/>
          <w:tab w:val="left" w:pos="900"/>
        </w:tabs>
        <w:snapToGrid w:val="0"/>
        <w:spacing w:line="360" w:lineRule="auto"/>
        <w:jc w:val="center"/>
        <w:outlineLvl w:val="9"/>
        <w:rPr>
          <w:rFonts w:ascii="宋体" w:hAnsi="宋体" w:cs="宋体"/>
          <w:b/>
          <w:color w:val="auto"/>
          <w:szCs w:val="21"/>
          <w:highlight w:val="none"/>
        </w:rPr>
      </w:pPr>
    </w:p>
    <w:p>
      <w:pPr>
        <w:tabs>
          <w:tab w:val="left" w:pos="360"/>
          <w:tab w:val="left" w:pos="900"/>
        </w:tabs>
        <w:snapToGrid w:val="0"/>
        <w:spacing w:line="360" w:lineRule="auto"/>
        <w:jc w:val="center"/>
        <w:outlineLvl w:val="9"/>
        <w:rPr>
          <w:rFonts w:ascii="宋体" w:hAnsi="宋体" w:cs="宋体"/>
          <w:b/>
          <w:color w:val="auto"/>
          <w:szCs w:val="21"/>
          <w:highlight w:val="none"/>
        </w:rPr>
      </w:pPr>
    </w:p>
    <w:p>
      <w:pPr>
        <w:spacing w:line="360" w:lineRule="auto"/>
        <w:jc w:val="center"/>
        <w:outlineLvl w:val="0"/>
        <w:rPr>
          <w:rFonts w:ascii="宋体" w:hAnsi="宋体" w:cs="宋体"/>
          <w:b/>
          <w:color w:val="auto"/>
          <w:sz w:val="32"/>
          <w:szCs w:val="32"/>
          <w:highlight w:val="none"/>
        </w:rPr>
      </w:pPr>
      <w:bookmarkStart w:id="4" w:name="_Toc19856"/>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en-US" w:eastAsia="zh-CN"/>
        </w:rPr>
        <w:t>四</w:t>
      </w:r>
      <w:r>
        <w:rPr>
          <w:rFonts w:hint="eastAsia" w:ascii="宋体" w:hAnsi="宋体" w:cs="宋体"/>
          <w:b/>
          <w:color w:val="auto"/>
          <w:sz w:val="32"/>
          <w:szCs w:val="32"/>
          <w:highlight w:val="none"/>
        </w:rPr>
        <w:t>章</w:t>
      </w:r>
      <w:r>
        <w:rPr>
          <w:rFonts w:hint="eastAsia" w:ascii="宋体" w:hAnsi="宋体" w:cs="宋体"/>
          <w:b/>
          <w:color w:val="auto"/>
          <w:sz w:val="32"/>
          <w:szCs w:val="32"/>
          <w:highlight w:val="none"/>
          <w:lang w:val="en-US" w:eastAsia="zh-CN"/>
        </w:rPr>
        <w:t xml:space="preserve">   </w:t>
      </w:r>
      <w:r>
        <w:rPr>
          <w:rFonts w:hint="eastAsia" w:ascii="宋体" w:hAnsi="宋体" w:cs="宋体"/>
          <w:b/>
          <w:color w:val="auto"/>
          <w:sz w:val="32"/>
          <w:szCs w:val="32"/>
          <w:highlight w:val="none"/>
        </w:rPr>
        <w:t>采购需求</w:t>
      </w:r>
      <w:bookmarkEnd w:id="4"/>
    </w:p>
    <w:p>
      <w:pPr>
        <w:pStyle w:val="23"/>
        <w:spacing w:line="360" w:lineRule="auto"/>
        <w:ind w:firstLine="0" w:firstLineChars="0"/>
        <w:contextualSpacing/>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一、采购标的</w:t>
      </w:r>
    </w:p>
    <w:tbl>
      <w:tblPr>
        <w:tblStyle w:val="17"/>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750"/>
        <w:gridCol w:w="1779"/>
        <w:gridCol w:w="771"/>
        <w:gridCol w:w="3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包号</w:t>
            </w:r>
          </w:p>
        </w:tc>
        <w:tc>
          <w:tcPr>
            <w:tcW w:w="1033"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标的名称</w:t>
            </w:r>
          </w:p>
        </w:tc>
        <w:tc>
          <w:tcPr>
            <w:tcW w:w="105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采购包预算金额</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（万元）</w:t>
            </w: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208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01</w:t>
            </w:r>
          </w:p>
        </w:tc>
        <w:tc>
          <w:tcPr>
            <w:tcW w:w="1033"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常州市新北区消防救援大队端午节福利采购项目</w:t>
            </w:r>
          </w:p>
        </w:tc>
        <w:tc>
          <w:tcPr>
            <w:tcW w:w="1050"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11.20</w:t>
            </w:r>
          </w:p>
        </w:tc>
        <w:tc>
          <w:tcPr>
            <w:tcW w:w="455"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082" w:type="pct"/>
            <w:vAlign w:val="center"/>
          </w:tcPr>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sz w:val="21"/>
                <w:szCs w:val="21"/>
                <w:highlight w:val="none"/>
                <w:lang w:val="en-US" w:eastAsia="zh-CN"/>
              </w:rPr>
              <w:t>端午</w:t>
            </w:r>
            <w:r>
              <w:rPr>
                <w:rFonts w:hint="eastAsia" w:ascii="宋体" w:hAnsi="宋体" w:eastAsia="宋体" w:cs="宋体"/>
                <w:bCs/>
                <w:color w:val="auto"/>
                <w:sz w:val="21"/>
                <w:szCs w:val="21"/>
                <w:highlight w:val="none"/>
                <w:lang w:eastAsia="zh-CN"/>
              </w:rPr>
              <w:t>福利，</w:t>
            </w:r>
            <w:r>
              <w:rPr>
                <w:rFonts w:hint="eastAsia" w:ascii="宋体" w:hAnsi="宋体" w:eastAsia="宋体" w:cs="宋体"/>
                <w:bCs/>
                <w:color w:val="auto"/>
                <w:sz w:val="21"/>
                <w:szCs w:val="21"/>
                <w:highlight w:val="none"/>
                <w:lang w:val="en-US" w:eastAsia="zh-CN"/>
              </w:rPr>
              <w:t>人数约224</w:t>
            </w:r>
            <w:r>
              <w:rPr>
                <w:rFonts w:hint="eastAsia" w:ascii="宋体" w:hAnsi="宋体" w:eastAsia="宋体" w:cs="宋体"/>
                <w:bCs/>
                <w:color w:val="auto"/>
                <w:sz w:val="21"/>
                <w:szCs w:val="21"/>
                <w:highlight w:val="none"/>
                <w:lang w:eastAsia="zh-CN"/>
              </w:rPr>
              <w:t>人（暂估，具体按实际数量结算）。</w:t>
            </w:r>
          </w:p>
        </w:tc>
      </w:tr>
    </w:tbl>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二、商务要求</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i/>
          <w:color w:val="auto"/>
          <w:sz w:val="21"/>
          <w:szCs w:val="21"/>
          <w:highlight w:val="none"/>
        </w:rPr>
      </w:pPr>
      <w:r>
        <w:rPr>
          <w:rFonts w:hint="eastAsia" w:ascii="宋体" w:hAnsi="宋体" w:eastAsia="宋体" w:cs="宋体"/>
          <w:b/>
          <w:bCs/>
          <w:color w:val="auto"/>
          <w:sz w:val="21"/>
          <w:szCs w:val="21"/>
          <w:highlight w:val="none"/>
        </w:rPr>
        <w:t>1.交付的时间和地点</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1.1交货日期：合同签订后，按采购人要求供货，3天内完成供货。</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1.2交货地点：</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负责将货物运到采购人指定地点和楼层，由</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负责办理运输和装卸等，费用由</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负责，由采购人组织验收，检验不合格或不符合质量要求，</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除无条件退货、返工外，还应承担采购人的一切损失。</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2.付款条件（进度和方式）</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完成供货后或提货凭证送至采购人处后，供应商根据实际供货情况开具正式发票，核实无误后</w:t>
      </w:r>
      <w:r>
        <w:rPr>
          <w:rFonts w:hint="eastAsia" w:ascii="宋体" w:hAnsi="宋体" w:eastAsia="宋体" w:cs="宋体"/>
          <w:bCs/>
          <w:color w:val="auto"/>
          <w:sz w:val="21"/>
          <w:szCs w:val="21"/>
          <w:highlight w:val="none"/>
          <w:lang w:val="en-US" w:eastAsia="zh-CN"/>
        </w:rPr>
        <w:t>30日内</w:t>
      </w:r>
      <w:r>
        <w:rPr>
          <w:rFonts w:hint="eastAsia" w:ascii="宋体" w:hAnsi="宋体" w:eastAsia="宋体" w:cs="宋体"/>
          <w:bCs/>
          <w:color w:val="auto"/>
          <w:sz w:val="21"/>
          <w:szCs w:val="21"/>
          <w:highlight w:val="none"/>
        </w:rPr>
        <w:t>付清货款。</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3.包装和运输</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3.1</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提供的全部货物均应按国家或专业标准保护措施进行包装。该包装应适应于远距离运输、防潮、防震、防漏和防野蛮装卸，以确保货物安全无损运抵指定地点。由于包装不善所引起的货物损失均由</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承担。</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3.2</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应负责安排运输并承担运费、装卸费等相关费用。在运输和卸货过程中所涉及的一切安全责任，均由</w:t>
      </w: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负责。</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4.质量保证</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4.1</w:t>
      </w:r>
      <w:r>
        <w:rPr>
          <w:rFonts w:hint="eastAsia" w:ascii="宋体" w:hAnsi="宋体" w:eastAsia="宋体" w:cs="宋体"/>
          <w:bCs/>
          <w:color w:val="auto"/>
          <w:sz w:val="21"/>
          <w:szCs w:val="21"/>
          <w:highlight w:val="none"/>
        </w:rPr>
        <w:t>所购食品须符合食品卫生条件，所购其他产品须符合国家相关标准。</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4.2</w:t>
      </w:r>
      <w:r>
        <w:rPr>
          <w:rFonts w:hint="eastAsia" w:ascii="宋体" w:hAnsi="宋体" w:eastAsia="宋体" w:cs="宋体"/>
          <w:bCs/>
          <w:color w:val="auto"/>
          <w:sz w:val="21"/>
          <w:szCs w:val="21"/>
          <w:highlight w:val="none"/>
        </w:rPr>
        <w:t>供应商承诺所供货品剩余保质期时间均不得少于货品规定保质期的1/2。</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4.3</w:t>
      </w:r>
      <w:r>
        <w:rPr>
          <w:rFonts w:hint="eastAsia" w:ascii="宋体" w:hAnsi="宋体" w:eastAsia="宋体" w:cs="宋体"/>
          <w:bCs/>
          <w:color w:val="auto"/>
          <w:sz w:val="21"/>
          <w:szCs w:val="21"/>
          <w:highlight w:val="none"/>
        </w:rPr>
        <w:t>对送货过程中出现的毁坏或霉变货品，供应商在接到采购人职工电话反映情况后立即安排退换。</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4.4</w:t>
      </w:r>
      <w:r>
        <w:rPr>
          <w:rFonts w:hint="eastAsia" w:ascii="宋体" w:hAnsi="宋体" w:eastAsia="宋体" w:cs="宋体"/>
          <w:bCs/>
          <w:color w:val="auto"/>
          <w:sz w:val="21"/>
          <w:szCs w:val="21"/>
          <w:highlight w:val="none"/>
        </w:rPr>
        <w:t>对缺少货品，成交供应商在接到采购人电话反映情况后须48小时内负责补发到位。</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lang w:val="en-US" w:eastAsia="zh-CN"/>
        </w:rPr>
        <w:t>4.5</w:t>
      </w:r>
      <w:r>
        <w:rPr>
          <w:rFonts w:hint="eastAsia" w:ascii="宋体" w:hAnsi="宋体" w:eastAsia="宋体" w:cs="宋体"/>
          <w:bCs/>
          <w:color w:val="auto"/>
          <w:sz w:val="21"/>
          <w:szCs w:val="21"/>
          <w:highlight w:val="none"/>
        </w:rPr>
        <w:t>产品为正品，采购人验收发现商品有假冒伪劣产品，视同违约，有权提前终止合同，并追究违约责任。如因供货产品质量问题引起质量安全事故，则由供应商全权承担。</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i/>
          <w:color w:val="auto"/>
          <w:sz w:val="21"/>
          <w:szCs w:val="21"/>
          <w:highlight w:val="none"/>
        </w:rPr>
      </w:pPr>
      <w:r>
        <w:rPr>
          <w:rFonts w:hint="eastAsia" w:ascii="宋体" w:hAnsi="宋体" w:eastAsia="宋体" w:cs="宋体"/>
          <w:b/>
          <w:bCs/>
          <w:color w:val="auto"/>
          <w:sz w:val="21"/>
          <w:szCs w:val="21"/>
          <w:highlight w:val="none"/>
        </w:rPr>
        <w:t>5.保险</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供应商</w:t>
      </w:r>
      <w:r>
        <w:rPr>
          <w:rFonts w:hint="eastAsia" w:ascii="宋体" w:hAnsi="宋体" w:eastAsia="宋体" w:cs="宋体"/>
          <w:bCs/>
          <w:color w:val="auto"/>
          <w:sz w:val="21"/>
          <w:szCs w:val="21"/>
          <w:highlight w:val="none"/>
        </w:rPr>
        <w:t>应承担相应货物的保险费。</w:t>
      </w:r>
    </w:p>
    <w:p>
      <w:pPr>
        <w:pStyle w:val="23"/>
        <w:keepNext w:val="0"/>
        <w:keepLines w:val="0"/>
        <w:pageBreakBefore w:val="0"/>
        <w:widowControl w:val="0"/>
        <w:kinsoku/>
        <w:wordWrap/>
        <w:overflowPunct/>
        <w:topLinePunct w:val="0"/>
        <w:autoSpaceDE/>
        <w:autoSpaceDN/>
        <w:bidi w:val="0"/>
        <w:adjustRightInd/>
        <w:snapToGrid/>
        <w:spacing w:line="360" w:lineRule="auto"/>
        <w:ind w:firstLine="0" w:firstLineChars="0"/>
        <w:contextualSpacing/>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三、采购要求</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1.基本要求</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w:t>
      </w:r>
      <w:r>
        <w:rPr>
          <w:rFonts w:hint="eastAsia" w:ascii="宋体" w:hAnsi="宋体" w:eastAsia="宋体" w:cs="宋体"/>
          <w:bCs/>
          <w:color w:val="auto"/>
          <w:sz w:val="21"/>
          <w:szCs w:val="21"/>
          <w:highlight w:val="none"/>
        </w:rPr>
        <w:t>组合方案：福利品以节日特色为主，粮油、副食品、干货、生活用品类组合。</w:t>
      </w:r>
      <w:r>
        <w:rPr>
          <w:rFonts w:hint="eastAsia" w:ascii="宋体" w:hAnsi="宋体" w:eastAsia="宋体" w:cs="宋体"/>
          <w:bCs/>
          <w:color w:val="auto"/>
          <w:sz w:val="21"/>
          <w:szCs w:val="21"/>
          <w:highlight w:val="none"/>
          <w:lang w:val="en-US" w:eastAsia="zh-CN"/>
        </w:rPr>
        <w:t>每套以6-8样组合为宜。</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①大米应选用知名品牌特级大米、油类应选用非转基因物理压榨食用油。干货类必须符合国家相应食品类标准并有独立包装。其他食品应选用绿色有机的，严禁使用转基因的产品。</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②其它类质量应符合相应的国家或行业食品安全、生活用品相关标准，添加剂的使用必须符合GB2760-2014标准，对食品的添加量严格控制在标准规定范围之内。</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★1.2须提供三套组合方案图文清单，</w:t>
      </w:r>
      <w:r>
        <w:rPr>
          <w:rFonts w:hint="eastAsia" w:ascii="宋体" w:hAnsi="宋体" w:eastAsia="宋体" w:cs="宋体"/>
          <w:bCs/>
          <w:color w:val="auto"/>
          <w:sz w:val="21"/>
          <w:szCs w:val="21"/>
          <w:highlight w:val="none"/>
        </w:rPr>
        <w:t>方案中的实物均须为大众品牌（大型商超在售产品，如大润发、麦德龙、山姆等），确保市场可询。价格必须切合市场行情，服务期内，采购人有权随机抽取进行市场调查，如发现报价明显高于市场零售价，将取消其成交资格。</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★1.3供应商提供的福利品支持全国</w:t>
      </w:r>
      <w:r>
        <w:rPr>
          <w:rFonts w:hint="eastAsia" w:ascii="宋体" w:hAnsi="宋体" w:cs="宋体"/>
          <w:bCs/>
          <w:color w:val="auto"/>
          <w:sz w:val="21"/>
          <w:szCs w:val="21"/>
          <w:highlight w:val="none"/>
          <w:lang w:val="en-US" w:eastAsia="zh-CN"/>
        </w:rPr>
        <w:t>免费</w:t>
      </w:r>
      <w:r>
        <w:rPr>
          <w:rFonts w:hint="eastAsia" w:ascii="宋体" w:hAnsi="宋体" w:eastAsia="宋体" w:cs="宋体"/>
          <w:bCs/>
          <w:color w:val="auto"/>
          <w:sz w:val="21"/>
          <w:szCs w:val="21"/>
          <w:highlight w:val="none"/>
          <w:lang w:val="en-US" w:eastAsia="zh-CN"/>
        </w:rPr>
        <w:t>包邮，</w:t>
      </w:r>
      <w:r>
        <w:rPr>
          <w:rFonts w:hint="eastAsia" w:ascii="宋体" w:hAnsi="宋体" w:cs="宋体"/>
          <w:bCs/>
          <w:color w:val="auto"/>
          <w:sz w:val="21"/>
          <w:szCs w:val="21"/>
          <w:highlight w:val="none"/>
          <w:lang w:val="en-US" w:eastAsia="zh-CN"/>
        </w:rPr>
        <w:t>即</w:t>
      </w:r>
      <w:r>
        <w:rPr>
          <w:rFonts w:hint="eastAsia" w:ascii="宋体" w:hAnsi="宋体" w:eastAsia="宋体" w:cs="宋体"/>
          <w:bCs/>
          <w:color w:val="auto"/>
          <w:sz w:val="21"/>
          <w:szCs w:val="21"/>
          <w:highlight w:val="none"/>
          <w:lang w:val="en-US" w:eastAsia="zh-CN"/>
        </w:rPr>
        <w:t>对于</w:t>
      </w:r>
      <w:r>
        <w:rPr>
          <w:rFonts w:hint="eastAsia" w:ascii="宋体" w:hAnsi="宋体" w:eastAsia="宋体" w:cs="宋体"/>
          <w:bCs/>
          <w:color w:val="auto"/>
          <w:sz w:val="21"/>
          <w:szCs w:val="21"/>
          <w:highlight w:val="none"/>
        </w:rPr>
        <w:t>采购人职工</w:t>
      </w:r>
      <w:r>
        <w:rPr>
          <w:rFonts w:hint="eastAsia" w:ascii="宋体" w:hAnsi="宋体" w:eastAsia="宋体" w:cs="宋体"/>
          <w:bCs/>
          <w:color w:val="auto"/>
          <w:sz w:val="21"/>
          <w:szCs w:val="21"/>
          <w:highlight w:val="none"/>
          <w:lang w:val="en-US" w:eastAsia="zh-CN"/>
        </w:rPr>
        <w:t>提出的异地提货或快递配送异地的要求，供应商须提供全国范围内</w:t>
      </w:r>
      <w:r>
        <w:rPr>
          <w:rFonts w:hint="eastAsia" w:ascii="宋体" w:hAnsi="宋体" w:cs="宋体"/>
          <w:bCs/>
          <w:color w:val="auto"/>
          <w:sz w:val="21"/>
          <w:szCs w:val="21"/>
          <w:highlight w:val="none"/>
          <w:lang w:val="en-US" w:eastAsia="zh-CN"/>
        </w:rPr>
        <w:t>免费的</w:t>
      </w:r>
      <w:r>
        <w:rPr>
          <w:rFonts w:hint="eastAsia" w:ascii="宋体" w:hAnsi="宋体" w:eastAsia="宋体" w:cs="宋体"/>
          <w:bCs/>
          <w:color w:val="auto"/>
          <w:sz w:val="21"/>
          <w:szCs w:val="21"/>
          <w:highlight w:val="none"/>
          <w:lang w:val="en-US" w:eastAsia="zh-CN"/>
        </w:rPr>
        <w:t>快递配送的配套服务。供应商提供的全部福利品均应按国家或专业标准保护措施进行包装，该包装应适应于远距离运输、防潮、防震、防漏和防野蛮装卸等，以确保福利品安全无损运抵指定地点。因快递配送导致的福利品丢失、缺件、变质或损毁的，由供应商负责补发。</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i/>
          <w:iCs/>
          <w:color w:val="auto"/>
          <w:sz w:val="21"/>
          <w:szCs w:val="21"/>
          <w:highlight w:val="none"/>
        </w:rPr>
      </w:pPr>
      <w:r>
        <w:rPr>
          <w:rFonts w:hint="eastAsia" w:ascii="宋体" w:hAnsi="宋体" w:eastAsia="宋体" w:cs="宋体"/>
          <w:b/>
          <w:bCs/>
          <w:color w:val="auto"/>
          <w:sz w:val="21"/>
          <w:szCs w:val="21"/>
          <w:highlight w:val="none"/>
        </w:rPr>
        <w:t>2.验收标准</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由采购人收货时进行现场检验。</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.2</w:t>
      </w:r>
      <w:r>
        <w:rPr>
          <w:rFonts w:hint="eastAsia" w:ascii="宋体" w:hAnsi="宋体" w:eastAsia="宋体" w:cs="宋体"/>
          <w:bCs/>
          <w:color w:val="auto"/>
          <w:sz w:val="21"/>
          <w:szCs w:val="21"/>
          <w:highlight w:val="none"/>
        </w:rPr>
        <w:t>对送货过程中出现的毁坏或霉变货品，供应商在接到采购人电话反映情况后立即安排退换。</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.3对缺少货品，成交供应商在接到采购人电话反映情况后须48小时内负责补发到位。</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3.报价方式</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3.1本项目实行固定综合上浮率，供应商响应时需按上浮比例的形式报价。所购</w:t>
      </w:r>
      <w:r>
        <w:rPr>
          <w:rFonts w:hint="eastAsia" w:ascii="宋体" w:hAnsi="宋体" w:eastAsia="宋体" w:cs="宋体"/>
          <w:bCs/>
          <w:color w:val="auto"/>
          <w:sz w:val="21"/>
          <w:szCs w:val="21"/>
          <w:highlight w:val="none"/>
          <w:lang w:eastAsia="zh-CN"/>
        </w:rPr>
        <w:t>端午节</w:t>
      </w:r>
      <w:r>
        <w:rPr>
          <w:rFonts w:hint="eastAsia" w:ascii="宋体" w:hAnsi="宋体" w:eastAsia="宋体" w:cs="宋体"/>
          <w:color w:val="auto"/>
          <w:sz w:val="21"/>
          <w:szCs w:val="21"/>
          <w:highlight w:val="none"/>
          <w:lang w:val="en-US" w:eastAsia="zh-CN"/>
        </w:rPr>
        <w:t>福利按500元/人进行结算。</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例：上浮比例为10%，则</w:t>
      </w:r>
      <w:r>
        <w:rPr>
          <w:rFonts w:hint="eastAsia" w:ascii="宋体" w:hAnsi="宋体" w:eastAsia="宋体" w:cs="宋体"/>
          <w:b/>
          <w:bCs w:val="0"/>
          <w:color w:val="auto"/>
          <w:sz w:val="21"/>
          <w:szCs w:val="21"/>
          <w:highlight w:val="none"/>
          <w:lang w:eastAsia="zh-CN"/>
        </w:rPr>
        <w:t>端午节</w:t>
      </w:r>
      <w:r>
        <w:rPr>
          <w:rFonts w:hint="eastAsia" w:ascii="宋体" w:hAnsi="宋体" w:eastAsia="宋体" w:cs="宋体"/>
          <w:b/>
          <w:bCs/>
          <w:color w:val="auto"/>
          <w:sz w:val="21"/>
          <w:szCs w:val="21"/>
          <w:highlight w:val="none"/>
          <w:lang w:val="en-US" w:eastAsia="zh-CN"/>
        </w:rPr>
        <w:t>福利发放标准为550元/人[即500×（1+10%）=550元]，但结算价仍为500元/人。</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谈判报价包括谈判文件所确定的采购范围相应货物和服务的供货、包装、物流运输、保险、管理、劳务、验收、利润、风险、税金及政策性文件规定等各项应有费用，以及为完成该项货物或者服务项目所涉及到的一切相关费用，采购人不再支付其他任何费用。</w:t>
      </w:r>
    </w:p>
    <w:p>
      <w:pPr>
        <w:keepNext w:val="0"/>
        <w:keepLines w:val="0"/>
        <w:pageBreakBefore w:val="0"/>
        <w:widowControl w:val="0"/>
        <w:kinsoku/>
        <w:wordWrap/>
        <w:overflowPunct/>
        <w:topLinePunct w:val="0"/>
        <w:autoSpaceDE/>
        <w:autoSpaceDN/>
        <w:bidi w:val="0"/>
        <w:adjustRightInd/>
        <w:snapToGrid/>
        <w:spacing w:line="360" w:lineRule="auto"/>
        <w:ind w:firstLine="482"/>
        <w:contextualSpacing/>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w:t>
      </w:r>
      <w:r>
        <w:rPr>
          <w:rFonts w:hint="eastAsia" w:ascii="宋体" w:hAnsi="宋体" w:eastAsia="宋体" w:cs="宋体"/>
          <w:bCs/>
          <w:color w:val="auto"/>
          <w:sz w:val="21"/>
          <w:szCs w:val="21"/>
          <w:highlight w:val="none"/>
          <w:lang w:eastAsia="zh-CN"/>
        </w:rPr>
        <w:t>端午节</w:t>
      </w:r>
      <w:r>
        <w:rPr>
          <w:rFonts w:hint="eastAsia" w:ascii="宋体" w:hAnsi="宋体" w:eastAsia="宋体" w:cs="宋体"/>
          <w:color w:val="auto"/>
          <w:sz w:val="21"/>
          <w:szCs w:val="21"/>
          <w:highlight w:val="none"/>
          <w:lang w:val="en-US" w:eastAsia="zh-CN"/>
        </w:rPr>
        <w:t>的货品需送至采购人指定地点（卸货、运输等费用包含在报价内，采购人不另外支付）或发放提货凭证。</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.其他要求</w:t>
      </w:r>
    </w:p>
    <w:p>
      <w:pPr>
        <w:pStyle w:val="23"/>
        <w:keepNext w:val="0"/>
        <w:keepLines w:val="0"/>
        <w:pageBreakBefore w:val="0"/>
        <w:widowControl w:val="0"/>
        <w:kinsoku/>
        <w:wordWrap/>
        <w:overflowPunct/>
        <w:topLinePunct w:val="0"/>
        <w:autoSpaceDE/>
        <w:autoSpaceDN/>
        <w:bidi w:val="0"/>
        <w:adjustRightInd/>
        <w:snapToGrid/>
        <w:spacing w:line="360" w:lineRule="auto"/>
        <w:contextualSpacing/>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按照《政府采购促进中小企业发展管理办法》（财库〔2020〕46号）的相关要求，采购人应当面向中小企业预留采购份额，本项目未设置预留份额情形属于：按照本办法规定预留采购份额无法确保充分供应、 充分竞争，或者存在可能影响政府采购目标实现的情形。</w:t>
      </w:r>
    </w:p>
    <w:p>
      <w:pPr>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color w:val="auto"/>
          <w:highlight w:val="none"/>
        </w:rPr>
      </w:pPr>
    </w:p>
    <w:p>
      <w:pPr>
        <w:jc w:val="center"/>
        <w:outlineLvl w:val="0"/>
        <w:rPr>
          <w:rFonts w:ascii="宋体" w:hAnsi="宋体" w:cs="宋体"/>
          <w:b/>
          <w:color w:val="auto"/>
          <w:sz w:val="36"/>
          <w:szCs w:val="36"/>
          <w:highlight w:val="none"/>
        </w:rPr>
      </w:pPr>
      <w:bookmarkStart w:id="5" w:name="_Toc23311"/>
      <w:r>
        <w:rPr>
          <w:rFonts w:hint="eastAsia" w:ascii="宋体" w:hAnsi="宋体" w:cs="宋体"/>
          <w:b/>
          <w:color w:val="auto"/>
          <w:sz w:val="36"/>
          <w:szCs w:val="36"/>
          <w:highlight w:val="none"/>
        </w:rPr>
        <w:t>第</w:t>
      </w:r>
      <w:r>
        <w:rPr>
          <w:rFonts w:hint="eastAsia" w:ascii="宋体" w:hAnsi="宋体" w:cs="宋体"/>
          <w:b/>
          <w:color w:val="auto"/>
          <w:sz w:val="36"/>
          <w:szCs w:val="36"/>
          <w:highlight w:val="none"/>
          <w:lang w:val="en-US" w:eastAsia="zh-CN"/>
        </w:rPr>
        <w:t>五</w:t>
      </w:r>
      <w:r>
        <w:rPr>
          <w:rFonts w:hint="eastAsia" w:ascii="宋体" w:hAnsi="宋体" w:cs="宋体"/>
          <w:b/>
          <w:color w:val="auto"/>
          <w:sz w:val="36"/>
          <w:szCs w:val="36"/>
          <w:highlight w:val="none"/>
        </w:rPr>
        <w:t xml:space="preserve">章 </w:t>
      </w: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合同草案条款</w:t>
      </w:r>
      <w:bookmarkEnd w:id="5"/>
    </w:p>
    <w:p>
      <w:pPr>
        <w:pStyle w:val="12"/>
        <w:keepNext w:val="0"/>
        <w:keepLines w:val="0"/>
        <w:pageBreakBefore w:val="0"/>
        <w:widowControl w:val="0"/>
        <w:kinsoku/>
        <w:wordWrap/>
        <w:topLinePunct w:val="0"/>
        <w:bidi w:val="0"/>
        <w:spacing w:line="440" w:lineRule="exact"/>
        <w:textAlignment w:val="auto"/>
        <w:rPr>
          <w:rFonts w:hint="default" w:hAnsi="宋体" w:cs="宋体"/>
          <w:color w:val="auto"/>
          <w:szCs w:val="21"/>
          <w:highlight w:val="none"/>
          <w:u w:val="single"/>
        </w:rPr>
      </w:pPr>
      <w:r>
        <w:rPr>
          <w:rFonts w:hAnsi="宋体" w:cs="宋体"/>
          <w:b/>
          <w:color w:val="auto"/>
          <w:szCs w:val="21"/>
          <w:highlight w:val="none"/>
        </w:rPr>
        <w:t xml:space="preserve">采购方（甲方）: </w:t>
      </w:r>
      <w:r>
        <w:rPr>
          <w:rFonts w:hAnsi="宋体" w:cs="宋体"/>
          <w:b/>
          <w:color w:val="auto"/>
          <w:szCs w:val="21"/>
          <w:highlight w:val="none"/>
          <w:u w:val="single"/>
        </w:rPr>
        <w:t xml:space="preserve">                      </w:t>
      </w:r>
      <w:r>
        <w:rPr>
          <w:rFonts w:hAnsi="宋体" w:cs="宋体"/>
          <w:b/>
          <w:color w:val="auto"/>
          <w:szCs w:val="21"/>
          <w:highlight w:val="none"/>
        </w:rPr>
        <w:t xml:space="preserve">            签约时间：</w:t>
      </w:r>
      <w:r>
        <w:rPr>
          <w:rFonts w:hAnsi="宋体" w:cs="宋体"/>
          <w:b/>
          <w:color w:val="auto"/>
          <w:szCs w:val="21"/>
          <w:highlight w:val="none"/>
          <w:u w:val="single"/>
        </w:rPr>
        <w:t xml:space="preserve">            </w:t>
      </w:r>
    </w:p>
    <w:p>
      <w:pPr>
        <w:pStyle w:val="12"/>
        <w:keepNext w:val="0"/>
        <w:keepLines w:val="0"/>
        <w:pageBreakBefore w:val="0"/>
        <w:widowControl w:val="0"/>
        <w:kinsoku/>
        <w:wordWrap/>
        <w:topLinePunct w:val="0"/>
        <w:bidi w:val="0"/>
        <w:spacing w:line="440" w:lineRule="exact"/>
        <w:textAlignment w:val="auto"/>
        <w:rPr>
          <w:rFonts w:hint="default" w:hAnsi="宋体" w:cs="宋体"/>
          <w:color w:val="auto"/>
          <w:szCs w:val="21"/>
          <w:highlight w:val="none"/>
          <w:u w:val="single"/>
        </w:rPr>
      </w:pPr>
      <w:r>
        <w:rPr>
          <w:rFonts w:hAnsi="宋体" w:cs="宋体"/>
          <w:b/>
          <w:color w:val="auto"/>
          <w:szCs w:val="21"/>
          <w:highlight w:val="none"/>
        </w:rPr>
        <w:t xml:space="preserve">供货方（乙方）: </w:t>
      </w:r>
      <w:r>
        <w:rPr>
          <w:rFonts w:hAnsi="宋体" w:cs="宋体"/>
          <w:b/>
          <w:color w:val="auto"/>
          <w:szCs w:val="21"/>
          <w:highlight w:val="none"/>
          <w:u w:val="single"/>
        </w:rPr>
        <w:t xml:space="preserve">                      </w:t>
      </w:r>
      <w:r>
        <w:rPr>
          <w:rFonts w:hAnsi="宋体" w:cs="宋体"/>
          <w:b/>
          <w:color w:val="auto"/>
          <w:szCs w:val="21"/>
          <w:highlight w:val="none"/>
        </w:rPr>
        <w:t xml:space="preserve">            签约地点：</w:t>
      </w:r>
      <w:r>
        <w:rPr>
          <w:rFonts w:hAnsi="宋体" w:cs="宋体"/>
          <w:b/>
          <w:color w:val="auto"/>
          <w:szCs w:val="21"/>
          <w:highlight w:val="none"/>
          <w:u w:val="single"/>
        </w:rPr>
        <w:t xml:space="preserve">            </w:t>
      </w:r>
    </w:p>
    <w:p>
      <w:pPr>
        <w:pStyle w:val="4"/>
        <w:keepNext w:val="0"/>
        <w:keepLines w:val="0"/>
        <w:pageBreakBefore w:val="0"/>
        <w:widowControl w:val="0"/>
        <w:kinsoku/>
        <w:wordWrap/>
        <w:topLinePunct w:val="0"/>
        <w:bidi w:val="0"/>
        <w:spacing w:line="440" w:lineRule="exact"/>
        <w:ind w:firstLine="0"/>
        <w:textAlignment w:val="auto"/>
        <w:rPr>
          <w:rFonts w:hAnsi="宋体" w:cs="宋体"/>
          <w:b/>
          <w:color w:val="auto"/>
          <w:sz w:val="21"/>
          <w:szCs w:val="21"/>
          <w:highlight w:val="none"/>
          <w:u w:val="single"/>
        </w:rPr>
      </w:pPr>
      <w:r>
        <w:rPr>
          <w:rFonts w:hint="eastAsia" w:hAnsi="宋体" w:cs="宋体"/>
          <w:b/>
          <w:color w:val="auto"/>
          <w:sz w:val="21"/>
          <w:szCs w:val="21"/>
          <w:highlight w:val="none"/>
        </w:rPr>
        <w:t>项目编号：</w:t>
      </w:r>
      <w:r>
        <w:rPr>
          <w:rFonts w:hint="eastAsia" w:hAnsi="宋体" w:cs="宋体"/>
          <w:b/>
          <w:color w:val="auto"/>
          <w:sz w:val="21"/>
          <w:szCs w:val="21"/>
          <w:highlight w:val="none"/>
          <w:u w:val="single"/>
        </w:rPr>
        <w:t xml:space="preserve">            </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甲乙双方依据《中华人民共和国民法典》以及有关法律、法规的规定，经协商一致，订立本合同，以便共同遵守。</w:t>
      </w:r>
    </w:p>
    <w:p>
      <w:pPr>
        <w:pStyle w:val="12"/>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1、合同名称：常州市新北区消防救援大队端午节福利采购项目</w:t>
      </w:r>
    </w:p>
    <w:p>
      <w:pPr>
        <w:keepNext w:val="0"/>
        <w:keepLines w:val="0"/>
        <w:pageBreakBefore w:val="0"/>
        <w:widowControl w:val="0"/>
        <w:kinsoku/>
        <w:wordWrap/>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2、福利组合方案：福利品以节日特色为主，不同节日的粮油、副食品、干货、生活用品类组合。</w:t>
      </w:r>
      <w:r>
        <w:rPr>
          <w:rFonts w:hint="eastAsia" w:ascii="宋体" w:hAnsi="宋体" w:eastAsia="宋体" w:cs="宋体"/>
          <w:bCs/>
          <w:color w:val="auto"/>
          <w:sz w:val="21"/>
          <w:szCs w:val="21"/>
          <w:highlight w:val="none"/>
          <w:lang w:val="en-US" w:eastAsia="zh-CN"/>
        </w:rPr>
        <w:t>每套以6-8样组合为宜。</w:t>
      </w:r>
    </w:p>
    <w:p>
      <w:pPr>
        <w:keepNext w:val="0"/>
        <w:keepLines w:val="0"/>
        <w:pageBreakBefore w:val="0"/>
        <w:widowControl w:val="0"/>
        <w:kinsoku/>
        <w:wordWrap/>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①大米应选用知名品牌特级大米、油类应选用非转基因物理压榨食用油。干货类必须符合国家相应食品类标准并有独立包装。其他食品应选用绿色有机的，严禁使用转基因的产品。</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②其它类质量应符合相应的国家或行业食品安全、生活用品相关标准，添加剂的使用必须符合GB2760-2014标准，对食品的添加量严格控制在标准规定范围之内。</w:t>
      </w:r>
    </w:p>
    <w:p>
      <w:pPr>
        <w:pStyle w:val="12"/>
        <w:keepNext w:val="0"/>
        <w:keepLines w:val="0"/>
        <w:pageBreakBefore w:val="0"/>
        <w:widowControl w:val="0"/>
        <w:numPr>
          <w:ilvl w:val="0"/>
          <w:numId w:val="1"/>
        </w:numPr>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bCs w:val="0"/>
          <w:color w:val="auto"/>
          <w:sz w:val="21"/>
          <w:szCs w:val="21"/>
          <w:highlight w:val="none"/>
          <w:lang w:val="en-US" w:eastAsia="zh-CN"/>
        </w:rPr>
        <w:t>须提供三套组合方案图文清单，</w:t>
      </w:r>
      <w:r>
        <w:rPr>
          <w:rFonts w:hint="eastAsia" w:ascii="宋体" w:hAnsi="宋体" w:eastAsia="宋体" w:cs="宋体"/>
          <w:b/>
          <w:bCs w:val="0"/>
          <w:color w:val="auto"/>
          <w:kern w:val="0"/>
          <w:sz w:val="21"/>
          <w:szCs w:val="21"/>
          <w:highlight w:val="none"/>
          <w:lang w:val="zh-CN"/>
        </w:rPr>
        <w:t>方</w:t>
      </w:r>
      <w:r>
        <w:rPr>
          <w:rFonts w:hint="eastAsia" w:ascii="宋体" w:hAnsi="宋体" w:eastAsia="宋体" w:cs="宋体"/>
          <w:b/>
          <w:color w:val="auto"/>
          <w:kern w:val="0"/>
          <w:sz w:val="21"/>
          <w:szCs w:val="21"/>
          <w:highlight w:val="none"/>
          <w:lang w:val="zh-CN"/>
        </w:rPr>
        <w:t>案中的实物均须为大众品牌（大型商超在售产品，如大润发、麦德龙、山姆等），确保市场可询。价格必须切合市场行情，服务期内，甲方有权随机抽取进行市场调查，如发现报价明显高于市场零售价，将取消其成交资格。</w:t>
      </w:r>
    </w:p>
    <w:p>
      <w:pPr>
        <w:pStyle w:val="12"/>
        <w:keepNext w:val="0"/>
        <w:keepLines w:val="0"/>
        <w:pageBreakBefore w:val="0"/>
        <w:widowControl w:val="0"/>
        <w:numPr>
          <w:ilvl w:val="0"/>
          <w:numId w:val="1"/>
        </w:numPr>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提供的福利品支持全国</w:t>
      </w:r>
      <w:r>
        <w:rPr>
          <w:rFonts w:hint="eastAsia" w:hAnsi="宋体" w:cs="宋体"/>
          <w:b/>
          <w:color w:val="auto"/>
          <w:kern w:val="0"/>
          <w:sz w:val="21"/>
          <w:szCs w:val="21"/>
          <w:highlight w:val="none"/>
          <w:lang w:val="en-US" w:eastAsia="zh-CN"/>
        </w:rPr>
        <w:t>免费</w:t>
      </w:r>
      <w:r>
        <w:rPr>
          <w:rFonts w:hint="eastAsia" w:ascii="宋体" w:hAnsi="宋体" w:eastAsia="宋体" w:cs="宋体"/>
          <w:b/>
          <w:color w:val="auto"/>
          <w:kern w:val="0"/>
          <w:sz w:val="21"/>
          <w:szCs w:val="21"/>
          <w:highlight w:val="none"/>
          <w:lang w:val="zh-CN"/>
        </w:rPr>
        <w:t>包邮，</w:t>
      </w:r>
      <w:r>
        <w:rPr>
          <w:rFonts w:hint="eastAsia" w:hAnsi="宋体" w:cs="宋体"/>
          <w:b/>
          <w:color w:val="auto"/>
          <w:kern w:val="0"/>
          <w:sz w:val="21"/>
          <w:szCs w:val="21"/>
          <w:highlight w:val="none"/>
          <w:lang w:val="en-US" w:eastAsia="zh-CN"/>
        </w:rPr>
        <w:t>即</w:t>
      </w:r>
      <w:r>
        <w:rPr>
          <w:rFonts w:hint="eastAsia" w:ascii="宋体" w:hAnsi="宋体" w:eastAsia="宋体" w:cs="宋体"/>
          <w:b/>
          <w:color w:val="auto"/>
          <w:kern w:val="0"/>
          <w:sz w:val="21"/>
          <w:szCs w:val="21"/>
          <w:highlight w:val="none"/>
          <w:lang w:val="zh-CN"/>
        </w:rPr>
        <w:t>对于</w:t>
      </w:r>
      <w:r>
        <w:rPr>
          <w:rFonts w:hint="eastAsia" w:ascii="宋体" w:hAnsi="宋体" w:eastAsia="宋体" w:cs="宋体"/>
          <w:b/>
          <w:color w:val="auto"/>
          <w:kern w:val="0"/>
          <w:sz w:val="21"/>
          <w:szCs w:val="21"/>
          <w:highlight w:val="none"/>
          <w:lang w:val="en-US" w:eastAsia="zh-CN"/>
        </w:rPr>
        <w:t>甲方</w:t>
      </w:r>
      <w:r>
        <w:rPr>
          <w:rFonts w:hint="eastAsia" w:ascii="宋体" w:hAnsi="宋体" w:eastAsia="宋体" w:cs="宋体"/>
          <w:b/>
          <w:color w:val="auto"/>
          <w:kern w:val="0"/>
          <w:sz w:val="21"/>
          <w:szCs w:val="21"/>
          <w:highlight w:val="none"/>
          <w:lang w:val="zh-CN"/>
        </w:rPr>
        <w:t>职工提出的异地提货或快递配送异地的要求，</w:t>
      </w: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须提供全国范围内</w:t>
      </w:r>
      <w:r>
        <w:rPr>
          <w:rFonts w:hint="eastAsia" w:hAnsi="宋体" w:cs="宋体"/>
          <w:b/>
          <w:color w:val="auto"/>
          <w:kern w:val="0"/>
          <w:sz w:val="21"/>
          <w:szCs w:val="21"/>
          <w:highlight w:val="none"/>
          <w:lang w:val="en-US" w:eastAsia="zh-CN"/>
        </w:rPr>
        <w:t>免费的</w:t>
      </w:r>
      <w:r>
        <w:rPr>
          <w:rFonts w:hint="eastAsia" w:ascii="宋体" w:hAnsi="宋体" w:eastAsia="宋体" w:cs="宋体"/>
          <w:b/>
          <w:color w:val="auto"/>
          <w:kern w:val="0"/>
          <w:sz w:val="21"/>
          <w:szCs w:val="21"/>
          <w:highlight w:val="none"/>
          <w:lang w:val="zh-CN"/>
        </w:rPr>
        <w:t>快递配送的配套服务。</w:t>
      </w: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提供的全部福利品均应按国家或专业标准保护措施进行包装，该包装应适应于远距离运输、防潮、防震、防漏和防野蛮装卸等，以确保福利品安全无损运抵指定地点。因快递配送导致的福利品丢失、缺件、变质或损毁的，由</w:t>
      </w:r>
      <w:r>
        <w:rPr>
          <w:rFonts w:hint="eastAsia" w:ascii="宋体" w:hAnsi="宋体" w:eastAsia="宋体" w:cs="宋体"/>
          <w:b/>
          <w:color w:val="auto"/>
          <w:kern w:val="0"/>
          <w:sz w:val="21"/>
          <w:szCs w:val="21"/>
          <w:highlight w:val="none"/>
          <w:lang w:val="en-US" w:eastAsia="zh-CN"/>
        </w:rPr>
        <w:t>乙方</w:t>
      </w:r>
      <w:r>
        <w:rPr>
          <w:rFonts w:hint="eastAsia" w:ascii="宋体" w:hAnsi="宋体" w:eastAsia="宋体" w:cs="宋体"/>
          <w:b/>
          <w:color w:val="auto"/>
          <w:kern w:val="0"/>
          <w:sz w:val="21"/>
          <w:szCs w:val="21"/>
          <w:highlight w:val="none"/>
          <w:lang w:val="zh-CN"/>
        </w:rPr>
        <w:t>负责补发。</w:t>
      </w:r>
    </w:p>
    <w:p>
      <w:pPr>
        <w:pStyle w:val="12"/>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、服务要求：</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①</w:t>
      </w:r>
      <w:r>
        <w:rPr>
          <w:rFonts w:hint="eastAsia" w:ascii="宋体" w:hAnsi="宋体" w:eastAsia="宋体" w:cs="宋体"/>
          <w:color w:val="auto"/>
          <w:kern w:val="0"/>
          <w:sz w:val="21"/>
          <w:szCs w:val="21"/>
          <w:highlight w:val="none"/>
          <w:lang w:val="zh-CN"/>
        </w:rPr>
        <w:t>乙方根据甲方统计数据及时备货，在节日前配送到位（一次性配送到位，禁止零散配送或多次配送）。</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②</w:t>
      </w:r>
      <w:r>
        <w:rPr>
          <w:rFonts w:hint="eastAsia" w:ascii="宋体" w:hAnsi="宋体" w:eastAsia="宋体" w:cs="宋体"/>
          <w:color w:val="auto"/>
          <w:kern w:val="0"/>
          <w:sz w:val="21"/>
          <w:szCs w:val="21"/>
          <w:highlight w:val="none"/>
          <w:lang w:val="zh-CN"/>
        </w:rPr>
        <w:t>货品需送至甲方指定地点（卸货、运输等费用包含在</w:t>
      </w:r>
      <w:r>
        <w:rPr>
          <w:rFonts w:hint="eastAsia" w:ascii="宋体" w:hAnsi="宋体" w:eastAsia="宋体" w:cs="宋体"/>
          <w:color w:val="auto"/>
          <w:kern w:val="0"/>
          <w:sz w:val="21"/>
          <w:szCs w:val="21"/>
          <w:highlight w:val="none"/>
          <w:lang w:val="en-US" w:eastAsia="zh-CN"/>
        </w:rPr>
        <w:t>合同价</w:t>
      </w:r>
      <w:r>
        <w:rPr>
          <w:rFonts w:hint="eastAsia" w:ascii="宋体" w:hAnsi="宋体" w:eastAsia="宋体" w:cs="宋体"/>
          <w:color w:val="auto"/>
          <w:kern w:val="0"/>
          <w:sz w:val="21"/>
          <w:szCs w:val="21"/>
          <w:highlight w:val="none"/>
          <w:lang w:val="zh-CN"/>
        </w:rPr>
        <w:t>内，甲方不另外支付）或发放提货凭证。</w:t>
      </w:r>
    </w:p>
    <w:p>
      <w:pPr>
        <w:pStyle w:val="12"/>
        <w:keepNext w:val="0"/>
        <w:keepLines w:val="0"/>
        <w:pageBreakBefore w:val="0"/>
        <w:widowControl w:val="0"/>
        <w:kinsoku/>
        <w:wordWrap/>
        <w:topLinePunct w:val="0"/>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合同履行期限</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zh-CN"/>
        </w:rPr>
        <w:t>合同期限：合同签订后，按采购人要求供货，3天内完成供货。</w:t>
      </w:r>
    </w:p>
    <w:p>
      <w:pPr>
        <w:pStyle w:val="12"/>
        <w:keepNext w:val="0"/>
        <w:keepLines w:val="0"/>
        <w:pageBreakBefore w:val="0"/>
        <w:widowControl w:val="0"/>
        <w:kinsoku/>
        <w:wordWrap/>
        <w:topLinePunct w:val="0"/>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合同价格</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签约合同固定综合上浮率：</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w:t>
      </w:r>
    </w:p>
    <w:p>
      <w:pPr>
        <w:pStyle w:val="12"/>
        <w:keepNext w:val="0"/>
        <w:keepLines w:val="0"/>
        <w:pageBreakBefore w:val="0"/>
        <w:widowControl w:val="0"/>
        <w:kinsoku/>
        <w:wordWrap/>
        <w:topLinePunct w:val="0"/>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即本项目结算价格为：</w:t>
      </w:r>
      <w:r>
        <w:rPr>
          <w:rFonts w:hint="eastAsia" w:ascii="宋体" w:hAnsi="宋体" w:eastAsia="宋体" w:cs="宋体"/>
          <w:color w:val="auto"/>
          <w:kern w:val="0"/>
          <w:sz w:val="21"/>
          <w:szCs w:val="21"/>
          <w:highlight w:val="none"/>
          <w:lang w:val="en-US" w:eastAsia="zh-CN"/>
        </w:rPr>
        <w:t>500</w:t>
      </w:r>
      <w:r>
        <w:rPr>
          <w:rFonts w:hint="eastAsia" w:ascii="宋体" w:hAnsi="宋体" w:eastAsia="宋体" w:cs="宋体"/>
          <w:color w:val="auto"/>
          <w:kern w:val="0"/>
          <w:sz w:val="21"/>
          <w:szCs w:val="21"/>
          <w:highlight w:val="none"/>
        </w:rPr>
        <w:t>元/人；</w:t>
      </w:r>
      <w:r>
        <w:rPr>
          <w:rFonts w:hint="eastAsia" w:ascii="宋体" w:hAnsi="宋体" w:eastAsia="宋体" w:cs="宋体"/>
          <w:color w:val="auto"/>
          <w:kern w:val="0"/>
          <w:sz w:val="21"/>
          <w:szCs w:val="21"/>
          <w:highlight w:val="none"/>
          <w:lang w:val="zh-CN"/>
        </w:rPr>
        <w:t>端午节</w:t>
      </w:r>
      <w:r>
        <w:rPr>
          <w:rFonts w:hint="eastAsia" w:ascii="宋体" w:hAnsi="宋体" w:eastAsia="宋体" w:cs="宋体"/>
          <w:color w:val="auto"/>
          <w:kern w:val="0"/>
          <w:sz w:val="21"/>
          <w:szCs w:val="21"/>
          <w:highlight w:val="none"/>
        </w:rPr>
        <w:t>福利发放标准为：</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元/人。</w:t>
      </w:r>
    </w:p>
    <w:p>
      <w:pPr>
        <w:pStyle w:val="12"/>
        <w:keepNext w:val="0"/>
        <w:keepLines w:val="0"/>
        <w:pageBreakBefore w:val="0"/>
        <w:widowControl w:val="0"/>
        <w:kinsoku/>
        <w:wordWrap/>
        <w:topLinePunct w:val="0"/>
        <w:bidi w:val="0"/>
        <w:adjustRightInd/>
        <w:snapToGrid/>
        <w:spacing w:line="360" w:lineRule="auto"/>
        <w:ind w:left="0" w:leftChars="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组成本合同的有关文件</w:t>
      </w:r>
    </w:p>
    <w:p>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下列关于</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rPr>
        <w:t>号的</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文件或与本次</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活动方式相适应的文件及有关附件是本合同不可分割的组成部分，与本合同具有同等法律效力，这些文件包括但不限于：</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乙方提供的响应文件和报价表；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报价明细表；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服务标准响应及偏离表；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商务条款响应及偏离表；</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成交通知书；</w:t>
      </w:r>
    </w:p>
    <w:p>
      <w:pPr>
        <w:keepNext w:val="0"/>
        <w:keepLines w:val="0"/>
        <w:pageBreakBefore w:val="0"/>
        <w:widowControl w:val="0"/>
        <w:numPr>
          <w:ilvl w:val="0"/>
          <w:numId w:val="2"/>
        </w:numPr>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甲乙双方商定的其他文件。</w:t>
      </w:r>
    </w:p>
    <w:p>
      <w:pPr>
        <w:keepNext w:val="0"/>
        <w:keepLines w:val="0"/>
        <w:pageBreakBefore w:val="0"/>
        <w:kinsoku/>
        <w:wordWrap/>
        <w:overflowPunct/>
        <w:topLinePunct w:val="0"/>
        <w:autoSpaceDE/>
        <w:autoSpaceDN/>
        <w:bidi w:val="0"/>
        <w:adjustRightInd/>
        <w:spacing w:line="360" w:lineRule="auto"/>
        <w:ind w:firstLineChars="200"/>
        <w:textAlignment w:val="auto"/>
        <w:outlineLvl w:val="9"/>
        <w:rPr>
          <w:color w:val="auto"/>
          <w:highlight w:val="none"/>
        </w:rPr>
      </w:pPr>
      <w:r>
        <w:rPr>
          <w:rFonts w:hint="eastAsia"/>
          <w:color w:val="auto"/>
          <w:highlight w:val="none"/>
        </w:rPr>
        <w:t>注：如乙方在其编制本项目的</w:t>
      </w:r>
      <w:r>
        <w:rPr>
          <w:rFonts w:hint="eastAsia"/>
          <w:color w:val="auto"/>
          <w:highlight w:val="none"/>
          <w:lang w:eastAsia="zh-CN"/>
        </w:rPr>
        <w:t>响应文件</w:t>
      </w:r>
      <w:r>
        <w:rPr>
          <w:rFonts w:hint="eastAsia"/>
          <w:color w:val="auto"/>
          <w:highlight w:val="none"/>
        </w:rPr>
        <w:t>及其相关承诺附件中作出有比</w:t>
      </w:r>
      <w:r>
        <w:rPr>
          <w:rFonts w:hint="eastAsia"/>
          <w:color w:val="auto"/>
          <w:highlight w:val="none"/>
          <w:lang w:eastAsia="zh-CN"/>
        </w:rPr>
        <w:t>采购文件</w:t>
      </w:r>
      <w:r>
        <w:rPr>
          <w:rFonts w:hint="eastAsia"/>
          <w:color w:val="auto"/>
          <w:highlight w:val="none"/>
        </w:rPr>
        <w:t>及答疑补遗文件和本合同更有利于甲方的响应（该是否有利于甲方的解释权双方同意最终归甲方所有）， 则乙方</w:t>
      </w:r>
      <w:r>
        <w:rPr>
          <w:rFonts w:hint="eastAsia"/>
          <w:color w:val="auto"/>
          <w:highlight w:val="none"/>
          <w:lang w:eastAsia="zh-CN"/>
        </w:rPr>
        <w:t>响应文件</w:t>
      </w:r>
      <w:r>
        <w:rPr>
          <w:rFonts w:hint="eastAsia"/>
          <w:color w:val="auto"/>
          <w:highlight w:val="none"/>
        </w:rPr>
        <w:t>及其相关承诺附件中更有利于甲方的相关条款内容的解释顺序优于</w:t>
      </w:r>
      <w:r>
        <w:rPr>
          <w:rFonts w:hint="eastAsia"/>
          <w:color w:val="auto"/>
          <w:highlight w:val="none"/>
          <w:lang w:eastAsia="zh-CN"/>
        </w:rPr>
        <w:t>采购文件</w:t>
      </w:r>
      <w:r>
        <w:rPr>
          <w:rFonts w:hint="eastAsia"/>
          <w:color w:val="auto"/>
          <w:highlight w:val="none"/>
        </w:rPr>
        <w:t>及答疑补遗文件和本合同，乙方须按这些响应承诺履行。</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权利保证</w:t>
      </w:r>
    </w:p>
    <w:p>
      <w:pPr>
        <w:keepNext w:val="0"/>
        <w:keepLines w:val="0"/>
        <w:pageBreakBefore w:val="0"/>
        <w:widowControl w:val="0"/>
        <w:kinsoku/>
        <w:wordWrap/>
        <w:topLinePunct w:val="0"/>
        <w:bidi w:val="0"/>
        <w:adjustRightInd/>
        <w:snapToGrid/>
        <w:spacing w:line="360" w:lineRule="auto"/>
        <w:ind w:left="0" w:leftChars="0"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乙方应保证甲方在使用该货物或其任何一部分时不受第三方提出侵犯其专利权</w:t>
      </w:r>
      <w:r>
        <w:rPr>
          <w:rFonts w:hint="eastAsia" w:ascii="宋体" w:hAnsi="宋体" w:eastAsia="宋体" w:cs="宋体"/>
          <w:color w:val="auto"/>
          <w:sz w:val="21"/>
          <w:szCs w:val="21"/>
          <w:highlight w:val="none"/>
          <w:shd w:val="clear" w:color="auto" w:fill="FFFFFF"/>
        </w:rPr>
        <w:t>、著作权、商标权等知识产权的起诉。</w:t>
      </w:r>
      <w:r>
        <w:rPr>
          <w:rFonts w:hint="eastAsia" w:ascii="宋体" w:hAnsi="宋体" w:eastAsia="宋体" w:cs="宋体"/>
          <w:color w:val="auto"/>
          <w:sz w:val="21"/>
          <w:szCs w:val="21"/>
          <w:highlight w:val="none"/>
        </w:rPr>
        <w:t>一旦出现侵权、索赔或诉讼，乙方应承担全部责任，同时甲方有权解除本合同。</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质量保证</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1、所购食品须符合食品卫生条件，所购其他产品须符合国家相关标准。</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所供产品需在国家要求的保质期内且货品剩余保质期时间均不得少于货品规定保质期的1/2（如乙方响应承诺高于此标准，则根据乙方响应情况进行调整）。</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3、对送货过程中出现的毁坏或霉变货品，乙方在接到甲方职工电话反映情况后立即安排退换。</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4、对缺少货品，乙方在接到甲方职工电话反映情况后须48小时内负责补发到位。</w:t>
      </w:r>
    </w:p>
    <w:p>
      <w:pPr>
        <w:pStyle w:val="12"/>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5、产品为正品，甲方验收发现商品有假冒伪劣产品，视同违约，有权提前终止合同，并追究违约责任。如因供货产品质量问题引起质量安全事故，则由乙方全权承担</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包装要求</w:t>
      </w:r>
    </w:p>
    <w:p>
      <w:pPr>
        <w:keepNext w:val="0"/>
        <w:keepLines w:val="0"/>
        <w:pageBreakBefore w:val="0"/>
        <w:widowControl w:val="0"/>
        <w:kinsoku/>
        <w:wordWrap/>
        <w:topLinePunct w:val="0"/>
        <w:bidi w:val="0"/>
        <w:adjustRightInd/>
        <w:snapToGrid/>
        <w:spacing w:line="360" w:lineRule="auto"/>
        <w:ind w:left="0" w:leftChars="0"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合同另有规定外，乙方提供的全部货物均应按国家或专业标准保护措施进行包装。该包装应适应于远距离运输、防潮、防震、防漏和防野蛮装卸等，以确保货物安全无损运抵指定地点。由于包装不善所引起的货物损失均由乙方承担。</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第七条：违约责任</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1.如乙方不能按约定进行服务的，甲方有权解除合同，同时有权要求乙方按照合同总价5%的标准支付违约金，解除合同的通知自发出之日生效。</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2.甲方未按合同规定的期限向乙方支付货款的，每逾期1天甲方向乙方偿付欠款总额的5‰滞纳金，但累计滞纳金总额不超过欠款总额的5%。</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3.乙方未按本合同的规定和“服务承诺”提供伴随服务的，甲方有权提前解除本合同，同时乙方应按合同总价款的5%向甲方承担违约责任。</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4.乙方在承担上述一项或多项违约责任后，仍应继续履行合同规定的义务（甲方解除合同的除外）。甲方未能及时追究乙方的任何一项违约责任并不表明甲方放弃追究乙方该项或其他违约责任。</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5.乙方属虚假承诺，或是由于乙方的过错造成合同无法继续履行的，应向甲方支付不少于合同总价30%违约金，若该违约金不足以弥补甲方损失，则应当赔偿甲方所有损失。</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6.其他未尽事宜，以《中华人民共和国民法典》等有关法律法规规定为准，无相关规定的，双方协商解决。</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第八条 合同款结算及支付</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1.本合同项下所有款项均以人民币支付。</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2.本合同项下的采购资金由甲方自行支付，乙方向甲方开具发票。</w:t>
      </w:r>
    </w:p>
    <w:p>
      <w:pPr>
        <w:keepNext w:val="0"/>
        <w:keepLines w:val="0"/>
        <w:pageBreakBefore w:val="0"/>
        <w:widowControl w:val="0"/>
        <w:kinsoku/>
        <w:wordWrap/>
        <w:topLinePunct w:val="0"/>
        <w:bidi w:val="0"/>
        <w:adjustRightInd/>
        <w:snapToGrid/>
        <w:spacing w:line="360" w:lineRule="auto"/>
        <w:ind w:left="0" w:leftChars="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3.结算原则：按实结算。</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4.付款方式：完成供货后或提货凭证送至</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处后，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根据实际供货情况开具正式发票，核实无误后</w:t>
      </w:r>
      <w:r>
        <w:rPr>
          <w:rFonts w:hint="eastAsia" w:ascii="宋体" w:hAnsi="宋体" w:eastAsia="宋体" w:cs="宋体"/>
          <w:color w:val="auto"/>
          <w:sz w:val="21"/>
          <w:szCs w:val="21"/>
          <w:highlight w:val="none"/>
          <w:lang w:val="en-US" w:eastAsia="zh-CN"/>
        </w:rPr>
        <w:t>30日内</w:t>
      </w:r>
      <w:r>
        <w:rPr>
          <w:rFonts w:hint="eastAsia" w:ascii="宋体" w:hAnsi="宋体" w:eastAsia="宋体" w:cs="宋体"/>
          <w:color w:val="auto"/>
          <w:sz w:val="21"/>
          <w:szCs w:val="21"/>
          <w:highlight w:val="none"/>
        </w:rPr>
        <w:t>付清货款。</w:t>
      </w:r>
    </w:p>
    <w:p>
      <w:pPr>
        <w:keepNext w:val="0"/>
        <w:keepLines w:val="0"/>
        <w:pageBreakBefore w:val="0"/>
        <w:widowControl w:val="0"/>
        <w:kinsoku/>
        <w:wordWrap/>
        <w:topLinePunct w:val="0"/>
        <w:bidi w:val="0"/>
        <w:adjustRightInd/>
        <w:snapToGrid/>
        <w:spacing w:line="360" w:lineRule="auto"/>
        <w:ind w:left="0" w:leftChars="0" w:firstLine="424" w:firstLineChars="20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第九条 伴随服务／售后服务</w:t>
      </w:r>
    </w:p>
    <w:p>
      <w:pPr>
        <w:keepNext w:val="0"/>
        <w:keepLines w:val="0"/>
        <w:pageBreakBefore w:val="0"/>
        <w:widowControl w:val="0"/>
        <w:kinsoku/>
        <w:wordWrap/>
        <w:topLinePunct w:val="0"/>
        <w:bidi w:val="0"/>
        <w:adjustRightInd/>
        <w:snapToGrid/>
        <w:spacing w:line="360" w:lineRule="auto"/>
        <w:ind w:left="0" w:leftChars="0" w:firstLine="422" w:firstLineChars="20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所供产品需在国家要求的保质期内且货品剩余保质期时间均不得少于货品规定保质期的1/2（</w:t>
      </w:r>
      <w:r>
        <w:rPr>
          <w:rFonts w:hint="eastAsia" w:ascii="宋体" w:hAnsi="宋体" w:eastAsia="宋体" w:cs="宋体"/>
          <w:color w:val="auto"/>
          <w:sz w:val="21"/>
          <w:szCs w:val="21"/>
          <w:highlight w:val="none"/>
          <w:lang w:val="en-US" w:eastAsia="zh-CN"/>
        </w:rPr>
        <w:t>如乙方响应承诺高于此标准，则</w:t>
      </w:r>
      <w:r>
        <w:rPr>
          <w:rFonts w:hint="eastAsia" w:ascii="宋体" w:hAnsi="宋体" w:eastAsia="宋体" w:cs="宋体"/>
          <w:color w:val="auto"/>
          <w:sz w:val="21"/>
          <w:szCs w:val="21"/>
          <w:highlight w:val="none"/>
        </w:rPr>
        <w:t>根据乙方响应情况进行调整）。</w:t>
      </w:r>
    </w:p>
    <w:p>
      <w:pPr>
        <w:keepNext w:val="0"/>
        <w:keepLines w:val="0"/>
        <w:pageBreakBefore w:val="0"/>
        <w:widowControl w:val="0"/>
        <w:kinsoku/>
        <w:wordWrap/>
        <w:topLinePunct w:val="0"/>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2.其他未尽事宜，以《中华人民共和国民法典》等有关法律法规规定为准，无相关规定的，双方协商解决。</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第十条 合同的变更和终止</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1.本合同一经签订，甲乙双方不得擅自变更、中止或终止合同。</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2.除发生法律规定的不能预见、不能避免并不能克服的客观情况外，甲乙双方不得放弃或拒绝履行合同。</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第十一条 合同的转让</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乙方不得擅自部分或全部转让其应履行的合同义务。</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第十二条 不可抗力</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第十三条 争议的解决</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1.因履行本合同引起的或与本合同有关的争议，甲、乙双方应首先通过友好协商解决，如果协商不能解决争议，则采取以下第（</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）种方式解决争议：</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（1）向甲方所在地人民法院提起诉讼；</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（2）向甲方所在地仲裁委员会按其仲裁规则申请仲裁。</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如没有约定，默认采取第2种方式解决争议。</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2.在法院审理和仲裁期间，除有争议部分外，本合同其他部分应继续履行。</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第十四条 诚实信用 </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乙方应诚实信用，严格按照竞争性</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文件要求和</w:t>
      </w:r>
      <w:r>
        <w:rPr>
          <w:rFonts w:hint="eastAsia" w:ascii="宋体" w:hAnsi="宋体" w:eastAsia="宋体" w:cs="宋体"/>
          <w:color w:val="auto"/>
          <w:sz w:val="21"/>
          <w:szCs w:val="21"/>
          <w:highlight w:val="none"/>
          <w:lang w:val="en-US" w:eastAsia="zh-CN"/>
        </w:rPr>
        <w:t>谈判</w:t>
      </w:r>
      <w:r>
        <w:rPr>
          <w:rFonts w:hint="eastAsia" w:ascii="宋体" w:hAnsi="宋体" w:eastAsia="宋体" w:cs="宋体"/>
          <w:color w:val="auto"/>
          <w:sz w:val="21"/>
          <w:szCs w:val="21"/>
          <w:highlight w:val="none"/>
        </w:rPr>
        <w:t>承诺履行合同，不向甲方进行商业贿赂或者提供不正当利益。</w:t>
      </w:r>
    </w:p>
    <w:p>
      <w:pPr>
        <w:keepNext w:val="0"/>
        <w:keepLines w:val="0"/>
        <w:pageBreakBefore w:val="0"/>
        <w:widowControl w:val="0"/>
        <w:kinsoku/>
        <w:wordWrap/>
        <w:topLinePunct w:val="0"/>
        <w:bidi w:val="0"/>
        <w:adjustRightInd/>
        <w:snapToGrid/>
        <w:spacing w:line="360" w:lineRule="auto"/>
        <w:ind w:left="0" w:leftChars="0" w:firstLine="426" w:firstLineChars="20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第十五条 合同生效及其他</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1.本合同自经甲乙双方授权代表签订并加盖公章后，自签订之日起生效。</w:t>
      </w:r>
    </w:p>
    <w:p>
      <w:pPr>
        <w:keepNext w:val="0"/>
        <w:keepLines w:val="0"/>
        <w:pageBreakBefore w:val="0"/>
        <w:widowControl w:val="0"/>
        <w:kinsoku/>
        <w:wordWrap/>
        <w:topLinePunct w:val="0"/>
        <w:bidi w:val="0"/>
        <w:adjustRightInd/>
        <w:snapToGrid/>
        <w:spacing w:line="360" w:lineRule="auto"/>
        <w:ind w:left="0" w:leftChars="0"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lang w:val="en-US" w:eastAsia="zh-CN"/>
        </w:rPr>
        <w:t>肆</w:t>
      </w:r>
      <w:r>
        <w:rPr>
          <w:rFonts w:hint="eastAsia" w:ascii="宋体" w:hAnsi="宋体" w:eastAsia="宋体" w:cs="宋体"/>
          <w:color w:val="auto"/>
          <w:sz w:val="21"/>
          <w:szCs w:val="21"/>
          <w:highlight w:val="none"/>
        </w:rPr>
        <w:t>份，甲乙双方各执贰份。</w:t>
      </w:r>
    </w:p>
    <w:p>
      <w:pPr>
        <w:pStyle w:val="4"/>
        <w:keepNext w:val="0"/>
        <w:keepLines w:val="0"/>
        <w:pageBreakBefore w:val="0"/>
        <w:widowControl w:val="0"/>
        <w:kinsoku/>
        <w:wordWrap/>
        <w:overflowPunct w:val="0"/>
        <w:topLinePunct w:val="0"/>
        <w:bidi w:val="0"/>
        <w:adjustRightInd/>
        <w:snapToGrid/>
        <w:spacing w:line="360" w:lineRule="auto"/>
        <w:ind w:left="0" w:leftChars="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3.本合同应按照中华人民共和国的现行法律进行解释。</w:t>
      </w:r>
    </w:p>
    <w:p>
      <w:pPr>
        <w:pStyle w:val="9"/>
        <w:keepNext w:val="0"/>
        <w:keepLines w:val="0"/>
        <w:pageBreakBefore w:val="0"/>
        <w:widowControl w:val="0"/>
        <w:kinsoku/>
        <w:wordWrap/>
        <w:topLinePunct w:val="0"/>
        <w:bidi w:val="0"/>
        <w:adjustRightInd/>
        <w:snapToGrid/>
        <w:spacing w:before="0"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甲方(盖章):                              乙方(盖章):</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单位地址：                               单位地址：</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                             法定代表人：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经办人：                                 经办人：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电话：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签订日期：     年     月     日</w:t>
      </w:r>
    </w:p>
    <w:p>
      <w:pPr>
        <w:keepNext w:val="0"/>
        <w:keepLines w:val="0"/>
        <w:pageBreakBefore w:val="0"/>
        <w:widowControl w:val="0"/>
        <w:kinsoku/>
        <w:wordWrap/>
        <w:topLinePunct w:val="0"/>
        <w:bidi w:val="0"/>
        <w:adjustRightInd/>
        <w:snapToGrid/>
        <w:spacing w:line="360" w:lineRule="auto"/>
        <w:ind w:left="0" w:leftChars="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签订地点：</w:t>
      </w:r>
    </w:p>
    <w:p>
      <w:pPr>
        <w:spacing w:line="360" w:lineRule="auto"/>
        <w:jc w:val="center"/>
        <w:outlineLvl w:val="0"/>
        <w:rPr>
          <w:rFonts w:ascii="宋体" w:hAnsi="宋体" w:cs="宋体"/>
          <w:b/>
          <w:color w:val="auto"/>
          <w:sz w:val="32"/>
          <w:szCs w:val="32"/>
          <w:highlight w:val="none"/>
        </w:rPr>
      </w:pPr>
      <w:bookmarkStart w:id="6" w:name="_Toc14255"/>
      <w:r>
        <w:rPr>
          <w:rFonts w:hint="eastAsia" w:ascii="宋体" w:hAnsi="宋体" w:cs="宋体"/>
          <w:b/>
          <w:color w:val="auto"/>
          <w:sz w:val="32"/>
          <w:szCs w:val="32"/>
          <w:highlight w:val="none"/>
        </w:rPr>
        <w:t>第</w:t>
      </w:r>
      <w:r>
        <w:rPr>
          <w:rFonts w:hint="eastAsia" w:ascii="宋体" w:hAnsi="宋体" w:cs="宋体"/>
          <w:b/>
          <w:color w:val="auto"/>
          <w:sz w:val="32"/>
          <w:szCs w:val="32"/>
          <w:highlight w:val="none"/>
          <w:lang w:val="en-US" w:eastAsia="zh-CN"/>
        </w:rPr>
        <w:t>六</w:t>
      </w:r>
      <w:r>
        <w:rPr>
          <w:rFonts w:hint="eastAsia" w:ascii="宋体" w:hAnsi="宋体" w:cs="宋体"/>
          <w:b/>
          <w:color w:val="auto"/>
          <w:sz w:val="32"/>
          <w:szCs w:val="32"/>
          <w:highlight w:val="none"/>
        </w:rPr>
        <w:t xml:space="preserve">章   </w:t>
      </w:r>
      <w:r>
        <w:rPr>
          <w:rFonts w:hint="eastAsia" w:ascii="宋体" w:hAnsi="宋体" w:cs="宋体"/>
          <w:b/>
          <w:color w:val="auto"/>
          <w:sz w:val="32"/>
          <w:szCs w:val="32"/>
          <w:highlight w:val="none"/>
          <w:lang w:eastAsia="zh-CN"/>
        </w:rPr>
        <w:t>响应文件</w:t>
      </w:r>
      <w:r>
        <w:rPr>
          <w:rFonts w:hint="eastAsia" w:ascii="宋体" w:hAnsi="宋体" w:cs="宋体"/>
          <w:b/>
          <w:color w:val="auto"/>
          <w:sz w:val="32"/>
          <w:szCs w:val="32"/>
          <w:highlight w:val="none"/>
        </w:rPr>
        <w:t>格式</w:t>
      </w:r>
      <w:bookmarkEnd w:id="6"/>
    </w:p>
    <w:p>
      <w:pPr>
        <w:tabs>
          <w:tab w:val="left" w:pos="900"/>
          <w:tab w:val="left" w:pos="1980"/>
        </w:tabs>
        <w:snapToGrid w:val="0"/>
        <w:spacing w:line="360" w:lineRule="auto"/>
        <w:ind w:left="142"/>
        <w:rPr>
          <w:rFonts w:ascii="宋体" w:hAnsi="宋体" w:cs="宋体"/>
          <w:b/>
          <w:color w:val="auto"/>
          <w:sz w:val="24"/>
          <w:highlight w:val="none"/>
        </w:rPr>
      </w:pP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供应商</w:t>
      </w:r>
      <w:r>
        <w:rPr>
          <w:rFonts w:hint="eastAsia" w:ascii="宋体" w:hAnsi="宋体" w:eastAsia="宋体" w:cs="宋体"/>
          <w:b/>
          <w:color w:val="auto"/>
          <w:sz w:val="21"/>
          <w:szCs w:val="21"/>
          <w:highlight w:val="none"/>
        </w:rPr>
        <w:t>编制文件须知</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按照本部分的顺序编制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（资格证明文件）、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（商务技术文件），编制中涉及格式资料的，应按照本部分提供的内容和格式（所有表格的格式可扩展）填写提交。</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对于</w:t>
      </w:r>
      <w:r>
        <w:rPr>
          <w:rFonts w:hint="eastAsia" w:ascii="宋体" w:hAnsi="宋体" w:eastAsia="宋体" w:cs="宋体"/>
          <w:color w:val="auto"/>
          <w:kern w:val="0"/>
          <w:sz w:val="21"/>
          <w:szCs w:val="21"/>
          <w:highlight w:val="none"/>
          <w:lang w:eastAsia="zh-CN"/>
        </w:rPr>
        <w:t>谈判文件</w:t>
      </w:r>
      <w:r>
        <w:rPr>
          <w:rFonts w:hint="eastAsia" w:ascii="宋体" w:hAnsi="宋体" w:eastAsia="宋体" w:cs="宋体"/>
          <w:color w:val="auto"/>
          <w:kern w:val="0"/>
          <w:sz w:val="21"/>
          <w:szCs w:val="21"/>
          <w:highlight w:val="none"/>
        </w:rPr>
        <w:t>中标记了“实质性格式”文件的，</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color w:val="auto"/>
          <w:kern w:val="0"/>
          <w:sz w:val="21"/>
          <w:szCs w:val="21"/>
          <w:highlight w:val="none"/>
        </w:rPr>
        <w:t>否则</w:t>
      </w:r>
      <w:r>
        <w:rPr>
          <w:rFonts w:hint="eastAsia" w:ascii="宋体" w:hAnsi="宋体" w:eastAsia="宋体" w:cs="宋体"/>
          <w:b/>
          <w:color w:val="auto"/>
          <w:kern w:val="0"/>
          <w:sz w:val="21"/>
          <w:szCs w:val="21"/>
          <w:highlight w:val="none"/>
          <w:lang w:eastAsia="zh-CN"/>
        </w:rPr>
        <w:t>响应无效</w:t>
      </w:r>
      <w:r>
        <w:rPr>
          <w:rFonts w:hint="eastAsia" w:ascii="宋体" w:hAnsi="宋体" w:eastAsia="宋体" w:cs="宋体"/>
          <w:color w:val="auto"/>
          <w:kern w:val="0"/>
          <w:sz w:val="21"/>
          <w:szCs w:val="21"/>
          <w:highlight w:val="none"/>
        </w:rPr>
        <w:t>。未标记“实质性格式”的文件和</w:t>
      </w:r>
      <w:r>
        <w:rPr>
          <w:rFonts w:hint="eastAsia" w:ascii="宋体" w:hAnsi="宋体" w:eastAsia="宋体" w:cs="宋体"/>
          <w:color w:val="auto"/>
          <w:kern w:val="0"/>
          <w:sz w:val="21"/>
          <w:szCs w:val="21"/>
          <w:highlight w:val="none"/>
          <w:lang w:eastAsia="zh-CN"/>
        </w:rPr>
        <w:t>谈判文件</w:t>
      </w:r>
      <w:r>
        <w:rPr>
          <w:rFonts w:hint="eastAsia" w:ascii="宋体" w:hAnsi="宋体" w:eastAsia="宋体" w:cs="宋体"/>
          <w:color w:val="auto"/>
          <w:kern w:val="0"/>
          <w:sz w:val="21"/>
          <w:szCs w:val="21"/>
          <w:highlight w:val="none"/>
        </w:rPr>
        <w:t>未提供格式的内容，可由</w:t>
      </w:r>
      <w:r>
        <w:rPr>
          <w:rFonts w:hint="eastAsia" w:ascii="宋体" w:hAnsi="宋体" w:eastAsia="宋体" w:cs="宋体"/>
          <w:color w:val="auto"/>
          <w:kern w:val="0"/>
          <w:sz w:val="21"/>
          <w:szCs w:val="21"/>
          <w:highlight w:val="none"/>
          <w:lang w:eastAsia="zh-CN"/>
        </w:rPr>
        <w:t>供应商</w:t>
      </w:r>
      <w:r>
        <w:rPr>
          <w:rFonts w:hint="eastAsia" w:ascii="宋体" w:hAnsi="宋体" w:eastAsia="宋体" w:cs="宋体"/>
          <w:color w:val="auto"/>
          <w:kern w:val="0"/>
          <w:sz w:val="21"/>
          <w:szCs w:val="21"/>
          <w:highlight w:val="none"/>
        </w:rPr>
        <w:t>自行编写。</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3、全部声明和问题的回答及所附材料必须是真实的、准确的和完整的。</w:t>
      </w:r>
    </w:p>
    <w:p>
      <w:pPr>
        <w:keepNext w:val="0"/>
        <w:keepLines w:val="0"/>
        <w:pageBreakBefore w:val="0"/>
        <w:widowControl w:val="0"/>
        <w:tabs>
          <w:tab w:val="left" w:pos="900"/>
          <w:tab w:val="left" w:pos="1980"/>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4、实行电子化不见面交易方式的，加盖公章、签名等均通过</w:t>
      </w:r>
      <w:r>
        <w:rPr>
          <w:rFonts w:hint="eastAsia" w:ascii="宋体" w:hAnsi="宋体" w:eastAsia="宋体" w:cs="宋体"/>
          <w:color w:val="auto"/>
          <w:kern w:val="0"/>
          <w:sz w:val="21"/>
          <w:szCs w:val="21"/>
          <w:highlight w:val="none"/>
          <w:lang w:eastAsia="zh-CN"/>
        </w:rPr>
        <w:t>响应文件</w:t>
      </w:r>
      <w:r>
        <w:rPr>
          <w:rFonts w:hint="eastAsia" w:ascii="宋体" w:hAnsi="宋体" w:eastAsia="宋体" w:cs="宋体"/>
          <w:color w:val="auto"/>
          <w:kern w:val="0"/>
          <w:sz w:val="21"/>
          <w:szCs w:val="21"/>
          <w:highlight w:val="none"/>
        </w:rPr>
        <w:t>编制工具加盖电子公章、签字、签章或印鉴。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1"/>
          <w:szCs w:val="21"/>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hint="eastAsia" w:ascii="宋体" w:hAnsi="宋体" w:cs="宋体"/>
          <w:color w:val="auto"/>
          <w:kern w:val="0"/>
          <w:sz w:val="24"/>
          <w:highlight w:val="none"/>
        </w:rPr>
      </w:pPr>
    </w:p>
    <w:p>
      <w:pPr>
        <w:rPr>
          <w:rFonts w:ascii="宋体" w:hAnsi="宋体" w:cs="宋体"/>
          <w:b/>
          <w:color w:val="auto"/>
          <w:sz w:val="24"/>
          <w:highlight w:val="none"/>
        </w:rPr>
      </w:pPr>
      <w:r>
        <w:rPr>
          <w:rFonts w:hint="eastAsia" w:ascii="宋体" w:hAnsi="宋体" w:cs="宋体"/>
          <w:b/>
          <w:color w:val="auto"/>
          <w:spacing w:val="20"/>
          <w:sz w:val="24"/>
          <w:highlight w:val="none"/>
          <w:lang w:eastAsia="zh-CN"/>
        </w:rPr>
        <w:t>响应文件</w:t>
      </w:r>
      <w:r>
        <w:rPr>
          <w:rFonts w:hint="eastAsia" w:ascii="宋体" w:hAnsi="宋体" w:cs="宋体"/>
          <w:b/>
          <w:color w:val="auto"/>
          <w:sz w:val="24"/>
          <w:highlight w:val="none"/>
        </w:rPr>
        <w:t>封面（非实质性格式）</w:t>
      </w:r>
    </w:p>
    <w:p>
      <w:pPr>
        <w:jc w:val="center"/>
        <w:rPr>
          <w:rFonts w:ascii="宋体" w:hAnsi="宋体" w:cs="宋体"/>
          <w:color w:val="auto"/>
          <w:szCs w:val="21"/>
          <w:highlight w:val="none"/>
        </w:rPr>
      </w:pPr>
    </w:p>
    <w:p>
      <w:pPr>
        <w:jc w:val="center"/>
        <w:rPr>
          <w:rFonts w:ascii="宋体" w:hAnsi="宋体" w:cs="宋体"/>
          <w:b/>
          <w:color w:val="auto"/>
          <w:spacing w:val="60"/>
          <w:sz w:val="84"/>
          <w:szCs w:val="84"/>
          <w:highlight w:val="none"/>
        </w:rPr>
      </w:pPr>
    </w:p>
    <w:p>
      <w:pPr>
        <w:jc w:val="center"/>
        <w:rPr>
          <w:rFonts w:ascii="宋体" w:hAnsi="宋体" w:cs="宋体"/>
          <w:b/>
          <w:color w:val="auto"/>
          <w:spacing w:val="60"/>
          <w:sz w:val="72"/>
          <w:szCs w:val="72"/>
          <w:highlight w:val="none"/>
        </w:rPr>
      </w:pPr>
    </w:p>
    <w:p>
      <w:pPr>
        <w:jc w:val="center"/>
        <w:rPr>
          <w:rFonts w:ascii="宋体" w:hAnsi="宋体" w:cs="宋体"/>
          <w:b/>
          <w:color w:val="auto"/>
          <w:spacing w:val="60"/>
          <w:sz w:val="72"/>
          <w:szCs w:val="72"/>
          <w:highlight w:val="none"/>
        </w:rPr>
      </w:pPr>
      <w:r>
        <w:rPr>
          <w:rFonts w:hint="eastAsia" w:ascii="宋体" w:hAnsi="宋体" w:cs="宋体"/>
          <w:b/>
          <w:color w:val="auto"/>
          <w:spacing w:val="60"/>
          <w:sz w:val="72"/>
          <w:szCs w:val="72"/>
          <w:highlight w:val="none"/>
        </w:rPr>
        <w:t>响 应 文 件</w:t>
      </w:r>
    </w:p>
    <w:p>
      <w:pPr>
        <w:ind w:firstLine="963" w:firstLineChars="150"/>
        <w:rPr>
          <w:rFonts w:ascii="宋体" w:hAnsi="宋体" w:cs="宋体"/>
          <w:b/>
          <w:color w:val="auto"/>
          <w:spacing w:val="60"/>
          <w:sz w:val="52"/>
          <w:szCs w:val="52"/>
          <w:highlight w:val="none"/>
        </w:rPr>
      </w:pPr>
    </w:p>
    <w:p>
      <w:pPr>
        <w:ind w:firstLine="963" w:firstLineChars="150"/>
        <w:rPr>
          <w:rFonts w:ascii="宋体" w:hAnsi="宋体" w:cs="宋体"/>
          <w:b/>
          <w:color w:val="auto"/>
          <w:spacing w:val="60"/>
          <w:sz w:val="52"/>
          <w:szCs w:val="52"/>
          <w:highlight w:val="none"/>
        </w:rPr>
      </w:pPr>
    </w:p>
    <w:p>
      <w:pPr>
        <w:ind w:firstLine="542" w:firstLineChars="150"/>
        <w:rPr>
          <w:rFonts w:ascii="宋体" w:hAnsi="宋体" w:cs="宋体"/>
          <w:b/>
          <w:color w:val="auto"/>
          <w:spacing w:val="20"/>
          <w:sz w:val="32"/>
          <w:szCs w:val="32"/>
          <w:highlight w:val="none"/>
        </w:rPr>
      </w:pPr>
    </w:p>
    <w:p>
      <w:pPr>
        <w:ind w:firstLine="542" w:firstLineChars="150"/>
        <w:rPr>
          <w:rFonts w:ascii="宋体" w:hAnsi="宋体" w:cs="宋体"/>
          <w:b/>
          <w:color w:val="auto"/>
          <w:spacing w:val="20"/>
          <w:sz w:val="32"/>
          <w:szCs w:val="32"/>
          <w:highlight w:val="none"/>
        </w:rPr>
      </w:pPr>
    </w:p>
    <w:p>
      <w:pPr>
        <w:spacing w:line="360" w:lineRule="auto"/>
        <w:ind w:firstLine="1084" w:firstLineChars="300"/>
        <w:rPr>
          <w:rFonts w:ascii="宋体" w:hAnsi="宋体" w:cs="宋体"/>
          <w:b/>
          <w:color w:val="auto"/>
          <w:sz w:val="36"/>
          <w:highlight w:val="none"/>
        </w:rPr>
      </w:pPr>
      <w:r>
        <w:rPr>
          <w:rFonts w:hint="eastAsia" w:ascii="宋体" w:hAnsi="宋体" w:cs="宋体"/>
          <w:b/>
          <w:color w:val="auto"/>
          <w:sz w:val="36"/>
          <w:highlight w:val="none"/>
        </w:rPr>
        <w:t>项 目 名 称：</w:t>
      </w:r>
      <w:r>
        <w:rPr>
          <w:rFonts w:hint="eastAsia" w:ascii="宋体" w:hAnsi="宋体" w:cs="宋体"/>
          <w:b/>
          <w:color w:val="auto"/>
          <w:sz w:val="36"/>
          <w:highlight w:val="none"/>
          <w:u w:val="single"/>
        </w:rPr>
        <w:t xml:space="preserve">               </w:t>
      </w:r>
    </w:p>
    <w:p>
      <w:pPr>
        <w:spacing w:line="360" w:lineRule="auto"/>
        <w:ind w:firstLine="1084" w:firstLineChars="300"/>
        <w:rPr>
          <w:rFonts w:ascii="宋体" w:hAnsi="宋体" w:cs="宋体"/>
          <w:b/>
          <w:color w:val="auto"/>
          <w:sz w:val="36"/>
          <w:highlight w:val="none"/>
          <w:u w:val="single"/>
        </w:rPr>
      </w:pPr>
      <w:r>
        <w:rPr>
          <w:rFonts w:hint="eastAsia" w:ascii="宋体" w:hAnsi="宋体" w:cs="宋体"/>
          <w:b/>
          <w:color w:val="auto"/>
          <w:sz w:val="36"/>
          <w:highlight w:val="none"/>
        </w:rPr>
        <w:t>项 目 编 号：</w:t>
      </w:r>
      <w:r>
        <w:rPr>
          <w:rFonts w:hint="eastAsia" w:ascii="宋体" w:hAnsi="宋体" w:cs="宋体"/>
          <w:b/>
          <w:color w:val="auto"/>
          <w:sz w:val="36"/>
          <w:highlight w:val="none"/>
          <w:u w:val="single"/>
        </w:rPr>
        <w:t xml:space="preserve">               </w:t>
      </w:r>
    </w:p>
    <w:p>
      <w:pPr>
        <w:spacing w:line="360" w:lineRule="auto"/>
        <w:rPr>
          <w:rFonts w:ascii="宋体" w:hAnsi="宋体" w:cs="宋体"/>
          <w:b/>
          <w:color w:val="auto"/>
          <w:sz w:val="36"/>
          <w:highlight w:val="none"/>
          <w:u w:val="single"/>
        </w:rPr>
      </w:pPr>
      <w:r>
        <w:rPr>
          <w:rFonts w:hint="eastAsia" w:ascii="宋体" w:hAnsi="宋体" w:cs="宋体"/>
          <w:b/>
          <w:color w:val="auto"/>
          <w:sz w:val="36"/>
          <w:highlight w:val="none"/>
        </w:rPr>
        <w:t xml:space="preserve">      </w:t>
      </w:r>
      <w:r>
        <w:rPr>
          <w:rFonts w:hint="eastAsia" w:ascii="宋体" w:hAnsi="宋体" w:cs="宋体"/>
          <w:b/>
          <w:color w:val="auto"/>
          <w:sz w:val="36"/>
          <w:highlight w:val="none"/>
          <w:lang w:eastAsia="zh-CN"/>
        </w:rPr>
        <w:t>供应商</w:t>
      </w:r>
      <w:r>
        <w:rPr>
          <w:rFonts w:hint="eastAsia" w:ascii="宋体" w:hAnsi="宋体" w:cs="宋体"/>
          <w:b/>
          <w:color w:val="auto"/>
          <w:sz w:val="36"/>
          <w:highlight w:val="none"/>
        </w:rPr>
        <w:t>名称 ：</w:t>
      </w:r>
      <w:r>
        <w:rPr>
          <w:rFonts w:hint="eastAsia" w:ascii="宋体" w:hAnsi="宋体" w:cs="宋体"/>
          <w:b/>
          <w:color w:val="auto"/>
          <w:sz w:val="36"/>
          <w:highlight w:val="none"/>
          <w:u w:val="single"/>
        </w:rPr>
        <w:t xml:space="preserve">               </w:t>
      </w:r>
    </w:p>
    <w:p>
      <w:pPr>
        <w:spacing w:line="360" w:lineRule="auto"/>
        <w:rPr>
          <w:rFonts w:ascii="宋体" w:hAnsi="宋体" w:cs="宋体"/>
          <w:b/>
          <w:color w:val="auto"/>
          <w:sz w:val="36"/>
          <w:highlight w:val="none"/>
        </w:rPr>
      </w:pPr>
      <w:r>
        <w:rPr>
          <w:rFonts w:hint="eastAsia" w:ascii="宋体" w:hAnsi="宋体" w:cs="宋体"/>
          <w:b/>
          <w:color w:val="auto"/>
          <w:sz w:val="36"/>
          <w:highlight w:val="none"/>
        </w:rPr>
        <w:t xml:space="preserve">      日      期 ：</w:t>
      </w:r>
      <w:r>
        <w:rPr>
          <w:rFonts w:hint="eastAsia" w:ascii="宋体" w:hAnsi="宋体" w:cs="宋体"/>
          <w:b/>
          <w:color w:val="auto"/>
          <w:sz w:val="36"/>
          <w:highlight w:val="none"/>
          <w:u w:val="single"/>
        </w:rPr>
        <w:t xml:space="preserve">               </w:t>
      </w:r>
    </w:p>
    <w:p>
      <w:pPr>
        <w:jc w:val="center"/>
        <w:rPr>
          <w:rFonts w:ascii="宋体" w:hAnsi="宋体" w:cs="宋体"/>
          <w:b/>
          <w:color w:val="auto"/>
          <w:sz w:val="32"/>
          <w:szCs w:val="32"/>
          <w:highlight w:val="none"/>
        </w:rPr>
      </w:pPr>
    </w:p>
    <w:p>
      <w:pPr>
        <w:jc w:val="center"/>
        <w:rPr>
          <w:rFonts w:ascii="宋体" w:hAnsi="宋体" w:cs="宋体"/>
          <w:b/>
          <w:color w:val="auto"/>
          <w:sz w:val="32"/>
          <w:szCs w:val="32"/>
          <w:highlight w:val="none"/>
        </w:rPr>
      </w:pPr>
      <w:r>
        <w:rPr>
          <w:rFonts w:hint="eastAsia" w:ascii="宋体" w:hAnsi="宋体" w:cs="宋体"/>
          <w:b/>
          <w:color w:val="auto"/>
          <w:spacing w:val="20"/>
          <w:sz w:val="32"/>
          <w:szCs w:val="32"/>
          <w:highlight w:val="none"/>
        </w:rPr>
        <w:br w:type="page"/>
      </w: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1 满足《中华人民共和国政府采购法》第二十二条规定及法律法规的其他规定</w:t>
      </w: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1-1有效的法人或者其他组织的营业执照等证明文件复印件</w:t>
      </w:r>
    </w:p>
    <w:p>
      <w:pPr>
        <w:spacing w:line="360" w:lineRule="auto"/>
        <w:outlineLvl w:val="9"/>
        <w:rPr>
          <w:rFonts w:hint="eastAsia" w:ascii="宋体" w:hAnsi="宋体" w:cs="宋体"/>
          <w:b/>
          <w:bCs/>
          <w:color w:val="auto"/>
          <w:szCs w:val="21"/>
          <w:highlight w:val="none"/>
        </w:rPr>
      </w:pPr>
    </w:p>
    <w:p>
      <w:pPr>
        <w:spacing w:line="360" w:lineRule="auto"/>
        <w:outlineLvl w:val="9"/>
        <w:rPr>
          <w:rFonts w:ascii="宋体" w:hAnsi="宋体" w:cs="宋体"/>
          <w:b/>
          <w:bCs/>
          <w:color w:val="auto"/>
          <w:szCs w:val="21"/>
          <w:highlight w:val="none"/>
        </w:rPr>
      </w:pPr>
      <w:r>
        <w:rPr>
          <w:rFonts w:hint="eastAsia" w:ascii="宋体" w:hAnsi="宋体" w:cs="宋体"/>
          <w:b/>
          <w:bCs/>
          <w:color w:val="auto"/>
          <w:szCs w:val="21"/>
          <w:highlight w:val="none"/>
        </w:rPr>
        <w:t xml:space="preserve">1-2 </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资格声明函（实质性格式）</w:t>
      </w:r>
    </w:p>
    <w:p>
      <w:pPr>
        <w:widowControl/>
        <w:adjustRightInd w:val="0"/>
        <w:snapToGrid w:val="0"/>
        <w:spacing w:beforeLines="50" w:line="360" w:lineRule="auto"/>
        <w:jc w:val="center"/>
        <w:outlineLvl w:val="9"/>
        <w:rPr>
          <w:rFonts w:ascii="宋体" w:hAnsi="宋体" w:cs="宋体"/>
          <w:b/>
          <w:color w:val="auto"/>
          <w:sz w:val="28"/>
          <w:szCs w:val="28"/>
          <w:highlight w:val="none"/>
        </w:rPr>
      </w:pPr>
    </w:p>
    <w:p>
      <w:pPr>
        <w:widowControl/>
        <w:adjustRightInd w:val="0"/>
        <w:snapToGrid w:val="0"/>
        <w:spacing w:beforeLines="50" w:line="360" w:lineRule="auto"/>
        <w:jc w:val="center"/>
        <w:outlineLvl w:val="9"/>
        <w:rPr>
          <w:rFonts w:ascii="宋体" w:hAnsi="宋体" w:cs="宋体"/>
          <w:color w:val="auto"/>
          <w:szCs w:val="21"/>
          <w:highlight w:val="none"/>
        </w:rPr>
      </w:pPr>
      <w:r>
        <w:rPr>
          <w:rFonts w:hint="eastAsia" w:ascii="宋体" w:hAnsi="宋体" w:cs="宋体"/>
          <w:b/>
          <w:color w:val="auto"/>
          <w:sz w:val="28"/>
          <w:szCs w:val="28"/>
          <w:highlight w:val="none"/>
          <w:lang w:eastAsia="zh-CN"/>
        </w:rPr>
        <w:t>供应商</w:t>
      </w:r>
      <w:r>
        <w:rPr>
          <w:rFonts w:hint="eastAsia" w:ascii="宋体" w:hAnsi="宋体" w:cs="宋体"/>
          <w:b/>
          <w:color w:val="auto"/>
          <w:sz w:val="28"/>
          <w:szCs w:val="28"/>
          <w:highlight w:val="none"/>
        </w:rPr>
        <w:t>资格声明函</w:t>
      </w:r>
    </w:p>
    <w:p>
      <w:pPr>
        <w:pStyle w:val="4"/>
        <w:spacing w:line="460" w:lineRule="exact"/>
        <w:ind w:firstLine="480"/>
        <w:outlineLvl w:val="9"/>
        <w:rPr>
          <w:rFonts w:hAnsi="宋体" w:cs="宋体"/>
          <w:color w:val="auto"/>
          <w:highlight w:val="none"/>
        </w:rPr>
      </w:pPr>
    </w:p>
    <w:p>
      <w:pPr>
        <w:pStyle w:val="4"/>
        <w:spacing w:line="460" w:lineRule="exact"/>
        <w:ind w:firstLine="0"/>
        <w:outlineLvl w:val="9"/>
        <w:rPr>
          <w:rFonts w:hint="eastAsia" w:hAnsi="宋体" w:eastAsia="宋体" w:cs="宋体"/>
          <w:color w:val="auto"/>
          <w:sz w:val="21"/>
          <w:szCs w:val="21"/>
          <w:highlight w:val="none"/>
          <w:u w:val="single"/>
          <w:lang w:eastAsia="zh-CN"/>
        </w:rPr>
      </w:pPr>
      <w:r>
        <w:rPr>
          <w:rFonts w:hint="eastAsia" w:hAnsi="宋体" w:cs="宋体"/>
          <w:color w:val="auto"/>
          <w:sz w:val="21"/>
          <w:szCs w:val="21"/>
          <w:highlight w:val="none"/>
        </w:rPr>
        <w:t>致：</w:t>
      </w:r>
      <w:r>
        <w:rPr>
          <w:rFonts w:hint="eastAsia" w:hAnsi="宋体" w:cs="宋体"/>
          <w:color w:val="auto"/>
          <w:sz w:val="21"/>
          <w:szCs w:val="21"/>
          <w:highlight w:val="none"/>
          <w:u w:val="single"/>
          <w:lang w:eastAsia="zh-CN"/>
        </w:rPr>
        <w:t>常州市新北区消防救援大队</w:t>
      </w:r>
    </w:p>
    <w:p>
      <w:pPr>
        <w:pStyle w:val="4"/>
        <w:spacing w:line="460" w:lineRule="exact"/>
        <w:outlineLvl w:val="9"/>
        <w:rPr>
          <w:rFonts w:hAnsi="宋体" w:cs="宋体"/>
          <w:color w:val="auto"/>
          <w:sz w:val="21"/>
          <w:szCs w:val="21"/>
          <w:highlight w:val="none"/>
        </w:rPr>
      </w:pPr>
      <w:r>
        <w:rPr>
          <w:rFonts w:hint="eastAsia" w:hAnsi="宋体" w:cs="宋体"/>
          <w:color w:val="auto"/>
          <w:sz w:val="21"/>
          <w:szCs w:val="21"/>
          <w:highlight w:val="none"/>
          <w:u w:val="single"/>
        </w:rPr>
        <w:t>常州青枫招标有限公司</w:t>
      </w:r>
    </w:p>
    <w:p>
      <w:pPr>
        <w:pStyle w:val="4"/>
        <w:spacing w:line="460" w:lineRule="exact"/>
        <w:ind w:firstLine="480"/>
        <w:outlineLvl w:val="9"/>
        <w:rPr>
          <w:rFonts w:hAnsi="宋体" w:cs="宋体"/>
          <w:color w:val="auto"/>
          <w:sz w:val="21"/>
          <w:szCs w:val="21"/>
          <w:highlight w:val="none"/>
        </w:rPr>
      </w:pP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按照《中华人民共和国政府采购法》第二十二条和</w:t>
      </w:r>
      <w:r>
        <w:rPr>
          <w:rFonts w:hint="eastAsia" w:hAnsi="宋体" w:cs="宋体"/>
          <w:color w:val="auto"/>
          <w:sz w:val="21"/>
          <w:szCs w:val="21"/>
          <w:highlight w:val="none"/>
          <w:lang w:eastAsia="zh-CN"/>
        </w:rPr>
        <w:t>谈判文件</w:t>
      </w:r>
      <w:r>
        <w:rPr>
          <w:rFonts w:hint="eastAsia" w:hAnsi="宋体" w:cs="宋体"/>
          <w:color w:val="auto"/>
          <w:sz w:val="21"/>
          <w:szCs w:val="21"/>
          <w:highlight w:val="none"/>
        </w:rPr>
        <w:t>的规定，我单位郑重声明如下：</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一、我单位是按照中华人民共和国法律规定登记注册的，注册地点为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，全称为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，统一社会信用代码为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，法定代表人（单位负责人）为</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，具有独立承担民事责任的能力</w:t>
      </w:r>
      <w:r>
        <w:rPr>
          <w:rFonts w:hint="eastAsia" w:hAnsi="宋体" w:cs="宋体"/>
          <w:b/>
          <w:color w:val="auto"/>
          <w:sz w:val="21"/>
          <w:szCs w:val="21"/>
          <w:highlight w:val="none"/>
        </w:rPr>
        <w:t>（如属于分公司经总公司授权参与项目，由总公司承担民事责任的，需提供总公司项目授权书）</w:t>
      </w:r>
      <w:r>
        <w:rPr>
          <w:rFonts w:hint="eastAsia" w:hAnsi="宋体" w:cs="宋体"/>
          <w:color w:val="auto"/>
          <w:sz w:val="21"/>
          <w:szCs w:val="21"/>
          <w:highlight w:val="none"/>
        </w:rPr>
        <w:t>。</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二、我单位具有良好的商业信誉（指</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经营状况良好，无本资格声明第十条情形）和健全的财务会计制度。</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三、我单位依法进行纳税和社会保险申报并实际履行了义务。</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四、我单位具有履行本项目采购合同所必需的设备和专业技术能力，并具有履行合同的良好记录。为履行本项采购合同我单位具备如下主要设备和主要专业技术能力:</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主要设备有：</w:t>
      </w:r>
      <w:r>
        <w:rPr>
          <w:rFonts w:hint="eastAsia" w:hAnsi="宋体" w:cs="宋体"/>
          <w:color w:val="auto"/>
          <w:sz w:val="21"/>
          <w:szCs w:val="21"/>
          <w:highlight w:val="none"/>
          <w:u w:val="singl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主要专业技术能力有</w:t>
      </w:r>
      <w:r>
        <w:rPr>
          <w:rFonts w:hint="eastAsia" w:hAnsi="宋体" w:cs="宋体"/>
          <w:color w:val="auto"/>
          <w:sz w:val="21"/>
          <w:szCs w:val="21"/>
          <w:highlight w:val="none"/>
          <w:u w:val="singl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六、我单位具备法律、行政法规规定的其他条件。</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七、与我单位存在“单位负责人为同一人或者存在直接控股、管理关系”的其他单位信息如下（如无此情形的，填写“无”）：</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1、与我单位的法定代表人（单位负责人）为同一人的其他单位如下：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2、我单位直接控股的其他单位如下：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3、与我单位存在管理关系的其他单位如下：</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八、我单位不属于为本项目提供整体设计、规范编制或者项目管理、监理、检测等服务的</w:t>
      </w:r>
      <w:r>
        <w:rPr>
          <w:rFonts w:hint="eastAsia" w:hAnsi="宋体" w:cs="宋体"/>
          <w:color w:val="auto"/>
          <w:sz w:val="21"/>
          <w:szCs w:val="21"/>
          <w:highlight w:val="none"/>
          <w:lang w:eastAsia="zh-CN"/>
        </w:rPr>
        <w:t>供应商</w:t>
      </w:r>
      <w:r>
        <w:rPr>
          <w:rFonts w:hint="eastAsia" w:hAnsi="宋体" w:cs="宋体"/>
          <w:color w:val="auto"/>
          <w:sz w:val="21"/>
          <w:szCs w:val="21"/>
          <w:highlight w:val="none"/>
        </w:rPr>
        <w:t>。</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九、我单位无以下不良信用记录情形：</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1、在“信用中国”网站被列入失信被执行人和重大税收违法案件当事人名单；</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2、在“中国政府采购网”网站被列入政府采购严重违法失信行为记录名单；</w:t>
      </w: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3、不符合《政府采购法》第二十二条规定的条件。</w:t>
      </w:r>
    </w:p>
    <w:p>
      <w:pPr>
        <w:pStyle w:val="4"/>
        <w:spacing w:line="460" w:lineRule="exact"/>
        <w:ind w:firstLine="480"/>
        <w:outlineLvl w:val="9"/>
        <w:rPr>
          <w:rFonts w:hAnsi="宋体" w:cs="宋体"/>
          <w:color w:val="auto"/>
          <w:sz w:val="21"/>
          <w:szCs w:val="21"/>
          <w:highlight w:val="none"/>
        </w:rPr>
      </w:pPr>
    </w:p>
    <w:p>
      <w:pPr>
        <w:pStyle w:val="4"/>
        <w:spacing w:line="460" w:lineRule="exact"/>
        <w:ind w:firstLine="480"/>
        <w:outlineLvl w:val="9"/>
        <w:rPr>
          <w:rFonts w:hAnsi="宋体" w:cs="宋体"/>
          <w:color w:val="auto"/>
          <w:sz w:val="21"/>
          <w:szCs w:val="21"/>
          <w:highlight w:val="none"/>
        </w:rPr>
      </w:pPr>
      <w:r>
        <w:rPr>
          <w:rFonts w:hint="eastAsia" w:hAnsi="宋体" w:cs="宋体"/>
          <w:color w:val="auto"/>
          <w:sz w:val="21"/>
          <w:szCs w:val="21"/>
          <w:highlight w:val="none"/>
        </w:rPr>
        <w:t>我单位保证上述声明的事项都是真实的，如有虚假，我单位愿意承担相应的法律责任，并承担因此所造成的一切损失。</w:t>
      </w:r>
    </w:p>
    <w:p>
      <w:pPr>
        <w:pStyle w:val="4"/>
        <w:spacing w:line="460" w:lineRule="exact"/>
        <w:ind w:firstLine="480"/>
        <w:outlineLvl w:val="9"/>
        <w:rPr>
          <w:rFonts w:hAnsi="宋体" w:cs="宋体"/>
          <w:color w:val="auto"/>
          <w:sz w:val="21"/>
          <w:szCs w:val="21"/>
          <w:highlight w:val="none"/>
        </w:rPr>
      </w:pPr>
    </w:p>
    <w:p>
      <w:pPr>
        <w:pStyle w:val="4"/>
        <w:spacing w:line="460" w:lineRule="exact"/>
        <w:ind w:firstLine="480"/>
        <w:outlineLvl w:val="9"/>
        <w:rPr>
          <w:rFonts w:hAnsi="宋体" w:cs="宋体"/>
          <w:color w:val="auto"/>
          <w:sz w:val="21"/>
          <w:szCs w:val="21"/>
          <w:highlight w:val="none"/>
        </w:rPr>
      </w:pPr>
    </w:p>
    <w:p>
      <w:pPr>
        <w:pStyle w:val="4"/>
        <w:spacing w:line="460" w:lineRule="exact"/>
        <w:ind w:left="4410" w:leftChars="2100"/>
        <w:outlineLvl w:val="9"/>
        <w:rPr>
          <w:rFonts w:hAnsi="宋体" w:cs="宋体"/>
          <w:color w:val="auto"/>
          <w:sz w:val="21"/>
          <w:szCs w:val="21"/>
          <w:highlight w:val="none"/>
        </w:rPr>
      </w:pPr>
      <w:r>
        <w:rPr>
          <w:rFonts w:hint="eastAsia" w:hAnsi="宋体" w:cs="宋体"/>
          <w:color w:val="auto"/>
          <w:sz w:val="21"/>
          <w:szCs w:val="21"/>
          <w:highlight w:val="none"/>
          <w:lang w:eastAsia="zh-CN"/>
        </w:rPr>
        <w:t>供应商</w:t>
      </w:r>
      <w:r>
        <w:rPr>
          <w:rFonts w:hint="eastAsia" w:hAnsi="宋体" w:cs="宋体"/>
          <w:color w:val="auto"/>
          <w:sz w:val="21"/>
          <w:szCs w:val="21"/>
          <w:highlight w:val="none"/>
        </w:rPr>
        <w:t>：（加盖公章）</w:t>
      </w:r>
    </w:p>
    <w:p>
      <w:pPr>
        <w:pStyle w:val="4"/>
        <w:spacing w:line="460" w:lineRule="exact"/>
        <w:ind w:left="4410" w:leftChars="2100"/>
        <w:outlineLvl w:val="9"/>
        <w:rPr>
          <w:rFonts w:hAnsi="宋体" w:cs="宋体"/>
          <w:color w:val="auto"/>
          <w:sz w:val="21"/>
          <w:szCs w:val="21"/>
          <w:highlight w:val="none"/>
        </w:rPr>
      </w:pPr>
      <w:r>
        <w:rPr>
          <w:rFonts w:hint="eastAsia" w:hAnsi="宋体" w:cs="宋体"/>
          <w:color w:val="auto"/>
          <w:sz w:val="21"/>
          <w:szCs w:val="21"/>
          <w:highlight w:val="none"/>
        </w:rPr>
        <w:t>法定代表人（或单位负责人）签字或盖章：</w:t>
      </w:r>
    </w:p>
    <w:p>
      <w:pPr>
        <w:pStyle w:val="4"/>
        <w:spacing w:line="460" w:lineRule="exact"/>
        <w:ind w:left="4410" w:leftChars="2100"/>
        <w:outlineLvl w:val="9"/>
        <w:rPr>
          <w:rFonts w:hAnsi="宋体" w:cs="宋体"/>
          <w:color w:val="auto"/>
          <w:sz w:val="21"/>
          <w:szCs w:val="21"/>
          <w:highlight w:val="none"/>
        </w:rPr>
      </w:pPr>
      <w:r>
        <w:rPr>
          <w:rFonts w:hint="eastAsia" w:hAnsi="宋体" w:cs="宋体"/>
          <w:color w:val="auto"/>
          <w:sz w:val="21"/>
          <w:szCs w:val="21"/>
          <w:highlight w:val="none"/>
        </w:rPr>
        <w:t>日期：    年    月    日</w:t>
      </w:r>
    </w:p>
    <w:p>
      <w:pPr>
        <w:spacing w:line="360" w:lineRule="auto"/>
        <w:outlineLvl w:val="9"/>
        <w:rPr>
          <w:rFonts w:ascii="宋体" w:hAnsi="宋体" w:cs="宋体"/>
          <w:color w:val="auto"/>
          <w:szCs w:val="21"/>
          <w:highlight w:val="none"/>
        </w:rPr>
      </w:pPr>
    </w:p>
    <w:p>
      <w:pPr>
        <w:spacing w:line="360" w:lineRule="auto"/>
        <w:outlineLvl w:val="9"/>
        <w:rPr>
          <w:rFonts w:ascii="宋体" w:hAnsi="宋体" w:cs="宋体"/>
          <w:color w:val="auto"/>
          <w:szCs w:val="21"/>
          <w:highlight w:val="none"/>
        </w:rPr>
      </w:pPr>
    </w:p>
    <w:p>
      <w:pPr>
        <w:pStyle w:val="21"/>
        <w:outlineLvl w:val="9"/>
        <w:rPr>
          <w:rFonts w:cs="宋体"/>
          <w:color w:val="auto"/>
          <w:szCs w:val="21"/>
          <w:highlight w:val="none"/>
        </w:rPr>
      </w:pPr>
    </w:p>
    <w:p>
      <w:pPr>
        <w:outlineLvl w:val="9"/>
        <w:rPr>
          <w:rFonts w:ascii="宋体" w:hAnsi="宋体" w:cs="宋体"/>
          <w:color w:val="auto"/>
          <w:szCs w:val="21"/>
          <w:highlight w:val="none"/>
        </w:rPr>
      </w:pPr>
    </w:p>
    <w:p>
      <w:pPr>
        <w:pStyle w:val="21"/>
        <w:outlineLvl w:val="9"/>
        <w:rPr>
          <w:rFonts w:cs="宋体"/>
          <w:color w:val="auto"/>
          <w:szCs w:val="21"/>
          <w:highlight w:val="none"/>
        </w:rPr>
      </w:pPr>
    </w:p>
    <w:p>
      <w:pPr>
        <w:outlineLvl w:val="9"/>
        <w:rPr>
          <w:color w:val="auto"/>
          <w:highlight w:val="none"/>
        </w:rPr>
      </w:pPr>
    </w:p>
    <w:p>
      <w:pPr>
        <w:spacing w:line="360" w:lineRule="auto"/>
        <w:outlineLvl w:val="9"/>
        <w:rPr>
          <w:rFonts w:ascii="宋体" w:hAnsi="宋体" w:cs="宋体"/>
          <w:color w:val="auto"/>
          <w:szCs w:val="21"/>
          <w:highlight w:val="none"/>
        </w:rPr>
      </w:pPr>
    </w:p>
    <w:p>
      <w:pPr>
        <w:spacing w:line="360" w:lineRule="auto"/>
        <w:outlineLvl w:val="9"/>
        <w:rPr>
          <w:rFonts w:hint="eastAsia" w:ascii="宋体" w:hAnsi="宋体" w:cs="宋体"/>
          <w:color w:val="auto"/>
          <w:szCs w:val="21"/>
          <w:highlight w:val="none"/>
        </w:rPr>
      </w:pPr>
      <w:r>
        <w:rPr>
          <w:rFonts w:hint="eastAsia" w:ascii="宋体" w:hAnsi="宋体" w:cs="宋体"/>
          <w:color w:val="auto"/>
          <w:szCs w:val="21"/>
          <w:highlight w:val="none"/>
        </w:rPr>
        <w:t>说明：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承诺不实的，依据《政府采购法》第七十七条“提供虚假材料谋取中标、成交的”有关规定予以处理。</w:t>
      </w:r>
    </w:p>
    <w:p>
      <w:pPr>
        <w:spacing w:line="360" w:lineRule="auto"/>
        <w:outlineLvl w:val="9"/>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 本项目的特定资格要求（如有）</w:t>
      </w:r>
    </w:p>
    <w:p>
      <w:pPr>
        <w:spacing w:line="360" w:lineRule="auto"/>
        <w:outlineLvl w:val="9"/>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3-2其他特定资格要求</w:t>
      </w:r>
    </w:p>
    <w:p>
      <w:pPr>
        <w:numPr>
          <w:ilvl w:val="0"/>
          <w:numId w:val="3"/>
        </w:numPr>
        <w:spacing w:line="360" w:lineRule="auto"/>
        <w:outlineLvl w:val="9"/>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具有有效的《食品经营许可证》。</w:t>
      </w: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hint="eastAsia" w:ascii="宋体" w:hAnsi="宋体" w:cs="宋体"/>
          <w:b/>
          <w:bCs/>
          <w:color w:val="auto"/>
          <w:sz w:val="24"/>
          <w:highlight w:val="none"/>
          <w:lang w:val="en-US" w:eastAsia="zh-CN"/>
        </w:rPr>
      </w:pPr>
    </w:p>
    <w:p>
      <w:pPr>
        <w:numPr>
          <w:ilvl w:val="0"/>
          <w:numId w:val="0"/>
        </w:numPr>
        <w:spacing w:line="360" w:lineRule="auto"/>
        <w:outlineLvl w:val="9"/>
        <w:rPr>
          <w:rFonts w:ascii="宋体" w:hAnsi="宋体" w:cs="宋体"/>
          <w:color w:val="auto"/>
          <w:sz w:val="24"/>
          <w:szCs w:val="20"/>
          <w:highlight w:val="none"/>
        </w:rPr>
      </w:pP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rPr>
        <w:t xml:space="preserve">  </w:t>
      </w:r>
      <w:r>
        <w:rPr>
          <w:rFonts w:hint="eastAsia" w:ascii="宋体" w:hAnsi="宋体" w:cs="宋体"/>
          <w:b/>
          <w:bCs/>
          <w:color w:val="auto"/>
          <w:sz w:val="24"/>
          <w:highlight w:val="none"/>
          <w:lang w:val="en-US" w:eastAsia="zh-CN"/>
        </w:rPr>
        <w:t>响应</w:t>
      </w:r>
      <w:r>
        <w:rPr>
          <w:rFonts w:hint="eastAsia" w:ascii="宋体" w:hAnsi="宋体" w:cs="宋体"/>
          <w:b/>
          <w:bCs/>
          <w:color w:val="auto"/>
          <w:sz w:val="24"/>
          <w:highlight w:val="none"/>
        </w:rPr>
        <w:t>函</w:t>
      </w:r>
      <w:r>
        <w:rPr>
          <w:rFonts w:hint="eastAsia" w:ascii="宋体" w:hAnsi="宋体" w:cs="宋体"/>
          <w:b/>
          <w:bCs/>
          <w:color w:val="auto"/>
          <w:sz w:val="24"/>
          <w:szCs w:val="20"/>
          <w:highlight w:val="none"/>
        </w:rPr>
        <w:t>（实质性格式）</w:t>
      </w:r>
    </w:p>
    <w:p>
      <w:pPr>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响应</w:t>
      </w:r>
      <w:r>
        <w:rPr>
          <w:rFonts w:hint="eastAsia" w:ascii="宋体" w:hAnsi="宋体" w:cs="宋体"/>
          <w:b/>
          <w:color w:val="auto"/>
          <w:sz w:val="28"/>
          <w:szCs w:val="28"/>
          <w:highlight w:val="none"/>
        </w:rPr>
        <w:t>函</w:t>
      </w:r>
    </w:p>
    <w:p>
      <w:pPr>
        <w:tabs>
          <w:tab w:val="left" w:pos="5580"/>
        </w:tabs>
        <w:spacing w:line="360" w:lineRule="auto"/>
        <w:outlineLvl w:val="9"/>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致：</w:t>
      </w:r>
      <w:r>
        <w:rPr>
          <w:rFonts w:hint="eastAsia" w:ascii="宋体" w:hAnsi="宋体" w:cs="宋体"/>
          <w:color w:val="auto"/>
          <w:szCs w:val="21"/>
          <w:highlight w:val="none"/>
          <w:u w:val="single"/>
          <w:lang w:eastAsia="zh-CN"/>
        </w:rPr>
        <w:t>常州市新北区消防救援大队</w:t>
      </w:r>
    </w:p>
    <w:p>
      <w:pPr>
        <w:tabs>
          <w:tab w:val="left" w:pos="5580"/>
        </w:tabs>
        <w:spacing w:line="360" w:lineRule="auto"/>
        <w:ind w:firstLine="420" w:firstLineChars="200"/>
        <w:outlineLvl w:val="9"/>
        <w:rPr>
          <w:rFonts w:ascii="宋体" w:hAnsi="宋体" w:cs="宋体"/>
          <w:color w:val="auto"/>
          <w:szCs w:val="21"/>
          <w:highlight w:val="none"/>
          <w:u w:val="single"/>
        </w:rPr>
      </w:pPr>
      <w:r>
        <w:rPr>
          <w:rFonts w:hint="eastAsia" w:ascii="宋体" w:hAnsi="宋体" w:cs="宋体"/>
          <w:color w:val="auto"/>
          <w:szCs w:val="21"/>
          <w:highlight w:val="none"/>
          <w:u w:val="single"/>
        </w:rPr>
        <w:t>常州青枫招标有限公司</w:t>
      </w:r>
    </w:p>
    <w:p>
      <w:pPr>
        <w:tabs>
          <w:tab w:val="left" w:pos="5580"/>
        </w:tabs>
        <w:spacing w:line="360" w:lineRule="auto"/>
        <w:outlineLvl w:val="9"/>
        <w:rPr>
          <w:rFonts w:ascii="宋体" w:hAnsi="宋体" w:cs="宋体"/>
          <w:color w:val="auto"/>
          <w:szCs w:val="21"/>
          <w:highlight w:val="none"/>
        </w:rPr>
      </w:pP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我方参加你方就___________（项目名称，项目编号）组织的采购活动，并对此项目进行响应。</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1. 我方已详细审查全部谈判文件，自愿参与响应并承诺如下：</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（1）本响应有效期为自提交响应文件的截止之日起60个日历日。</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（2）除合同条款及采购需求偏离表列出的偏离外，我方响应谈判文件的全部要求。</w:t>
      </w:r>
    </w:p>
    <w:p>
      <w:pPr>
        <w:tabs>
          <w:tab w:val="left" w:pos="5580"/>
        </w:tabs>
        <w:spacing w:line="360" w:lineRule="auto"/>
        <w:ind w:firstLine="420" w:firstLineChars="200"/>
        <w:outlineLvl w:val="9"/>
        <w:rPr>
          <w:rFonts w:hint="eastAsia" w:ascii="宋体" w:hAnsi="宋体" w:cs="宋体"/>
          <w:color w:val="auto"/>
          <w:szCs w:val="21"/>
          <w:highlight w:val="none"/>
        </w:rPr>
      </w:pPr>
      <w:r>
        <w:rPr>
          <w:rFonts w:hint="eastAsia" w:ascii="宋体" w:hAnsi="宋体" w:cs="宋体"/>
          <w:color w:val="auto"/>
          <w:szCs w:val="21"/>
          <w:highlight w:val="none"/>
        </w:rPr>
        <w:t>（3）我方已提供的全部文件资料是真实、准确的，并对此承担一切法律后果。</w:t>
      </w: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（4）如我方中标，我方将在法律规定的期限内与你方签订合同，按照谈判文件要求提交履约保证金，并在合同约定的期限内完成合同规定的全部义务。</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2.其他补充条款（如有）：___________。</w:t>
      </w:r>
    </w:p>
    <w:p>
      <w:pPr>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与本</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有关的一切正式往来信函请寄：</w:t>
      </w:r>
    </w:p>
    <w:p>
      <w:pPr>
        <w:tabs>
          <w:tab w:val="left" w:pos="5580"/>
        </w:tabs>
        <w:spacing w:line="360" w:lineRule="auto"/>
        <w:outlineLvl w:val="9"/>
        <w:rPr>
          <w:rFonts w:ascii="宋体" w:hAnsi="宋体" w:cs="宋体"/>
          <w:color w:val="auto"/>
          <w:szCs w:val="21"/>
          <w:highlight w:val="none"/>
        </w:rPr>
      </w:pP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地址_________________________</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传真_________________________</w:t>
      </w: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xml:space="preserve">电话_________________________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电子函件________________________</w:t>
      </w:r>
    </w:p>
    <w:p>
      <w:pPr>
        <w:tabs>
          <w:tab w:val="left" w:pos="5580"/>
        </w:tabs>
        <w:spacing w:line="360" w:lineRule="auto"/>
        <w:ind w:left="420" w:firstLine="420" w:firstLineChars="200"/>
        <w:outlineLvl w:val="9"/>
        <w:rPr>
          <w:rFonts w:ascii="宋体" w:hAnsi="宋体" w:cs="宋体"/>
          <w:color w:val="auto"/>
          <w:szCs w:val="21"/>
          <w:highlight w:val="none"/>
        </w:rPr>
      </w:pP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 ___________</w:t>
      </w:r>
    </w:p>
    <w:p>
      <w:pPr>
        <w:tabs>
          <w:tab w:val="left" w:pos="5580"/>
        </w:tabs>
        <w:spacing w:line="360" w:lineRule="auto"/>
        <w:ind w:firstLine="420" w:firstLineChars="200"/>
        <w:outlineLvl w:val="9"/>
        <w:rPr>
          <w:rFonts w:ascii="宋体" w:hAnsi="宋体" w:cs="宋体"/>
          <w:color w:val="auto"/>
          <w:szCs w:val="21"/>
          <w:highlight w:val="none"/>
        </w:rPr>
      </w:pPr>
      <w:r>
        <w:rPr>
          <w:rFonts w:hint="eastAsia" w:ascii="宋体" w:hAnsi="宋体" w:cs="宋体"/>
          <w:color w:val="auto"/>
          <w:szCs w:val="21"/>
          <w:highlight w:val="none"/>
        </w:rPr>
        <w:t xml:space="preserve">日期：_____年______月______日    </w:t>
      </w:r>
    </w:p>
    <w:p>
      <w:pPr>
        <w:tabs>
          <w:tab w:val="left" w:pos="5580"/>
        </w:tabs>
        <w:spacing w:line="360" w:lineRule="auto"/>
        <w:ind w:left="420"/>
        <w:outlineLvl w:val="9"/>
        <w:rPr>
          <w:rFonts w:ascii="宋体" w:hAnsi="宋体" w:cs="宋体"/>
          <w:color w:val="auto"/>
          <w:szCs w:val="21"/>
          <w:highlight w:val="none"/>
          <w:u w:val="single"/>
        </w:rPr>
      </w:pPr>
    </w:p>
    <w:p>
      <w:pPr>
        <w:widowControl/>
        <w:jc w:val="left"/>
        <w:outlineLvl w:val="9"/>
        <w:rPr>
          <w:rFonts w:ascii="宋体" w:hAnsi="宋体" w:cs="宋体"/>
          <w:color w:val="auto"/>
          <w:szCs w:val="21"/>
          <w:highlight w:val="none"/>
        </w:rPr>
      </w:pPr>
      <w:r>
        <w:rPr>
          <w:rFonts w:hint="eastAsia" w:ascii="宋体" w:hAnsi="宋体" w:cs="宋体"/>
          <w:color w:val="auto"/>
          <w:szCs w:val="21"/>
          <w:highlight w:val="none"/>
        </w:rPr>
        <w:br w:type="page"/>
      </w:r>
    </w:p>
    <w:p>
      <w:pPr>
        <w:widowControl/>
        <w:jc w:val="left"/>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 xml:space="preserve">  法定代表人资格证明书（实质性格式）</w:t>
      </w:r>
    </w:p>
    <w:p>
      <w:pPr>
        <w:spacing w:line="360" w:lineRule="auto"/>
        <w:jc w:val="center"/>
        <w:outlineLvl w:val="9"/>
        <w:rPr>
          <w:rFonts w:ascii="宋体" w:hAnsi="宋体" w:cs="宋体"/>
          <w:b/>
          <w:color w:val="auto"/>
          <w:sz w:val="32"/>
          <w:szCs w:val="32"/>
          <w:highlight w:val="none"/>
        </w:rPr>
      </w:pPr>
    </w:p>
    <w:p>
      <w:pPr>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法定代表人资格证明书</w:t>
      </w:r>
    </w:p>
    <w:p>
      <w:pPr>
        <w:spacing w:line="560" w:lineRule="exact"/>
        <w:outlineLvl w:val="9"/>
        <w:rPr>
          <w:rFonts w:ascii="宋体" w:hAnsi="宋体" w:cs="宋体"/>
          <w:color w:val="auto"/>
          <w:szCs w:val="21"/>
          <w:highlight w:val="none"/>
          <w:u w:val="single"/>
        </w:rPr>
      </w:pPr>
      <w:r>
        <w:rPr>
          <w:rFonts w:hint="eastAsia" w:ascii="宋体" w:hAnsi="宋体" w:cs="宋体"/>
          <w:color w:val="auto"/>
          <w:szCs w:val="21"/>
          <w:highlight w:val="none"/>
        </w:rPr>
        <w:t>单位名称:</w:t>
      </w:r>
      <w:r>
        <w:rPr>
          <w:rFonts w:hint="eastAsia" w:ascii="宋体" w:hAnsi="宋体" w:cs="宋体"/>
          <w:color w:val="auto"/>
          <w:szCs w:val="21"/>
          <w:highlight w:val="none"/>
          <w:u w:val="single"/>
        </w:rPr>
        <w:t xml:space="preserve">                 </w:t>
      </w:r>
    </w:p>
    <w:p>
      <w:pPr>
        <w:spacing w:line="560" w:lineRule="exact"/>
        <w:outlineLvl w:val="9"/>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pacing w:line="560" w:lineRule="exact"/>
        <w:outlineLvl w:val="9"/>
        <w:rPr>
          <w:rFonts w:ascii="宋体" w:hAnsi="宋体" w:cs="宋体"/>
          <w:color w:val="auto"/>
          <w:szCs w:val="21"/>
          <w:highlight w:val="none"/>
          <w:u w:val="singl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的法定代表人。为参与</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的政府采购活动，签署、澄清确认、递交、撤回、修改上述项目的</w:t>
      </w: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、进行合同谈判、签署合同和处理与之有关的一切事务。</w:t>
      </w:r>
    </w:p>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特此证明。</w:t>
      </w:r>
    </w:p>
    <w:p>
      <w:pPr>
        <w:spacing w:line="560" w:lineRule="exact"/>
        <w:outlineLvl w:val="9"/>
        <w:rPr>
          <w:rFonts w:ascii="宋体" w:hAnsi="宋体" w:cs="宋体"/>
          <w:color w:val="auto"/>
          <w:szCs w:val="21"/>
          <w:highlight w:val="none"/>
        </w:rPr>
      </w:pPr>
    </w:p>
    <w:p>
      <w:pPr>
        <w:pStyle w:val="9"/>
        <w:kinsoku w:val="0"/>
        <w:overflowPunct w:val="0"/>
        <w:spacing w:line="583" w:lineRule="auto"/>
        <w:ind w:right="-46"/>
        <w:outlineLvl w:val="9"/>
        <w:rPr>
          <w:rFonts w:cs="宋体"/>
          <w:color w:val="auto"/>
          <w:spacing w:val="-3"/>
          <w:sz w:val="21"/>
          <w:szCs w:val="21"/>
          <w:highlight w:val="none"/>
        </w:rPr>
      </w:pPr>
      <w:r>
        <w:rPr>
          <w:rFonts w:hint="eastAsia" w:cs="宋体"/>
          <w:color w:val="auto"/>
          <w:sz w:val="21"/>
          <w:szCs w:val="21"/>
          <w:highlight w:val="none"/>
        </w:rPr>
        <w:t>附：</w:t>
      </w:r>
      <w:r>
        <w:rPr>
          <w:rFonts w:hint="eastAsia" w:cs="宋体"/>
          <w:color w:val="auto"/>
          <w:spacing w:val="-3"/>
          <w:sz w:val="21"/>
          <w:szCs w:val="21"/>
          <w:highlight w:val="none"/>
        </w:rPr>
        <w:t>法</w:t>
      </w:r>
      <w:r>
        <w:rPr>
          <w:rFonts w:hint="eastAsia" w:cs="宋体"/>
          <w:color w:val="auto"/>
          <w:sz w:val="21"/>
          <w:szCs w:val="21"/>
          <w:highlight w:val="none"/>
        </w:rPr>
        <w:t>定</w:t>
      </w:r>
      <w:r>
        <w:rPr>
          <w:rFonts w:hint="eastAsia" w:cs="宋体"/>
          <w:color w:val="auto"/>
          <w:spacing w:val="-3"/>
          <w:sz w:val="21"/>
          <w:szCs w:val="21"/>
          <w:highlight w:val="none"/>
        </w:rPr>
        <w:t>代</w:t>
      </w:r>
      <w:r>
        <w:rPr>
          <w:rFonts w:hint="eastAsia" w:cs="宋体"/>
          <w:color w:val="auto"/>
          <w:sz w:val="21"/>
          <w:szCs w:val="21"/>
          <w:highlight w:val="none"/>
        </w:rPr>
        <w:t>表</w:t>
      </w:r>
      <w:r>
        <w:rPr>
          <w:rFonts w:hint="eastAsia" w:cs="宋体"/>
          <w:color w:val="auto"/>
          <w:spacing w:val="-3"/>
          <w:sz w:val="21"/>
          <w:szCs w:val="21"/>
          <w:highlight w:val="none"/>
        </w:rPr>
        <w:t>人</w:t>
      </w:r>
      <w:r>
        <w:rPr>
          <w:rFonts w:hint="eastAsia" w:cs="宋体"/>
          <w:color w:val="auto"/>
          <w:sz w:val="21"/>
          <w:szCs w:val="21"/>
          <w:highlight w:val="none"/>
        </w:rPr>
        <w:t>（</w:t>
      </w:r>
      <w:r>
        <w:rPr>
          <w:rFonts w:hint="eastAsia" w:cs="宋体"/>
          <w:color w:val="auto"/>
          <w:spacing w:val="-3"/>
          <w:sz w:val="21"/>
          <w:szCs w:val="21"/>
          <w:highlight w:val="none"/>
        </w:rPr>
        <w:t>单</w:t>
      </w:r>
      <w:r>
        <w:rPr>
          <w:rFonts w:hint="eastAsia" w:cs="宋体"/>
          <w:color w:val="auto"/>
          <w:sz w:val="21"/>
          <w:szCs w:val="21"/>
          <w:highlight w:val="none"/>
        </w:rPr>
        <w:t>位</w:t>
      </w:r>
      <w:r>
        <w:rPr>
          <w:rFonts w:hint="eastAsia" w:cs="宋体"/>
          <w:color w:val="auto"/>
          <w:spacing w:val="-3"/>
          <w:sz w:val="21"/>
          <w:szCs w:val="21"/>
          <w:highlight w:val="none"/>
        </w:rPr>
        <w:t>负</w:t>
      </w:r>
      <w:r>
        <w:rPr>
          <w:rFonts w:hint="eastAsia" w:cs="宋体"/>
          <w:color w:val="auto"/>
          <w:sz w:val="21"/>
          <w:szCs w:val="21"/>
          <w:highlight w:val="none"/>
        </w:rPr>
        <w:t>责人</w:t>
      </w:r>
      <w:r>
        <w:rPr>
          <w:rFonts w:hint="eastAsia" w:cs="宋体"/>
          <w:color w:val="auto"/>
          <w:spacing w:val="-3"/>
          <w:sz w:val="21"/>
          <w:szCs w:val="21"/>
          <w:highlight w:val="none"/>
        </w:rPr>
        <w:t>）有效期内的身份证正反面复印件。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9" w:hRule="atLeast"/>
        </w:trPr>
        <w:tc>
          <w:tcPr>
            <w:tcW w:w="4673"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正面</w:t>
            </w:r>
          </w:p>
          <w:p>
            <w:pPr>
              <w:tabs>
                <w:tab w:val="left" w:pos="5580"/>
              </w:tabs>
              <w:spacing w:line="360" w:lineRule="auto"/>
              <w:jc w:val="center"/>
              <w:outlineLvl w:val="9"/>
              <w:rPr>
                <w:rFonts w:ascii="宋体" w:hAnsi="宋体" w:cs="宋体"/>
                <w:color w:val="auto"/>
                <w:szCs w:val="21"/>
                <w:highlight w:val="none"/>
              </w:rPr>
            </w:pPr>
          </w:p>
        </w:tc>
        <w:tc>
          <w:tcPr>
            <w:tcW w:w="4536"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反面</w:t>
            </w:r>
          </w:p>
          <w:p>
            <w:pPr>
              <w:tabs>
                <w:tab w:val="left" w:pos="5580"/>
              </w:tabs>
              <w:spacing w:line="360" w:lineRule="auto"/>
              <w:jc w:val="center"/>
              <w:outlineLvl w:val="9"/>
              <w:rPr>
                <w:rFonts w:ascii="宋体" w:hAnsi="宋体" w:cs="宋体"/>
                <w:color w:val="auto"/>
                <w:szCs w:val="21"/>
                <w:highlight w:val="none"/>
              </w:rPr>
            </w:pPr>
          </w:p>
        </w:tc>
      </w:tr>
    </w:tbl>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：（加盖公章）</w:t>
      </w:r>
    </w:p>
    <w:p>
      <w:pPr>
        <w:spacing w:line="560" w:lineRule="exact"/>
        <w:outlineLvl w:val="9"/>
        <w:rPr>
          <w:rFonts w:ascii="宋体" w:hAnsi="宋体" w:cs="宋体"/>
          <w:color w:val="auto"/>
          <w:szCs w:val="21"/>
          <w:highlight w:val="none"/>
        </w:rPr>
      </w:pPr>
      <w:r>
        <w:rPr>
          <w:rFonts w:hint="eastAsia" w:ascii="宋体" w:hAnsi="宋体" w:cs="宋体"/>
          <w:color w:val="auto"/>
          <w:szCs w:val="21"/>
          <w:highlight w:val="none"/>
        </w:rPr>
        <w:t>                       法定代表人签字、签章或印鉴：</w:t>
      </w:r>
    </w:p>
    <w:p>
      <w:pPr>
        <w:spacing w:line="560" w:lineRule="exact"/>
        <w:ind w:firstLine="3780" w:firstLineChars="1800"/>
        <w:outlineLvl w:val="9"/>
        <w:rPr>
          <w:rFonts w:ascii="宋体" w:hAnsi="宋体" w:cs="宋体"/>
          <w:color w:val="auto"/>
          <w:szCs w:val="21"/>
          <w:highlight w:val="none"/>
        </w:rPr>
      </w:pPr>
      <w:r>
        <w:rPr>
          <w:rFonts w:hint="eastAsia" w:ascii="宋体" w:hAnsi="宋体" w:cs="宋体"/>
          <w:color w:val="auto"/>
          <w:szCs w:val="21"/>
          <w:highlight w:val="none"/>
        </w:rPr>
        <w:t>日期：    年    月    日</w:t>
      </w:r>
    </w:p>
    <w:p>
      <w:pPr>
        <w:widowControl/>
        <w:jc w:val="left"/>
        <w:outlineLvl w:val="9"/>
        <w:rPr>
          <w:rFonts w:ascii="宋体" w:hAnsi="宋体" w:cs="宋体"/>
          <w:color w:val="auto"/>
          <w:szCs w:val="21"/>
          <w:highlight w:val="none"/>
        </w:rPr>
      </w:pPr>
    </w:p>
    <w:p>
      <w:pPr>
        <w:widowControl/>
        <w:jc w:val="left"/>
        <w:outlineLvl w:val="9"/>
        <w:rPr>
          <w:rFonts w:ascii="宋体" w:hAnsi="宋体" w:cs="宋体"/>
          <w:color w:val="auto"/>
          <w:szCs w:val="21"/>
          <w:highlight w:val="none"/>
        </w:rPr>
      </w:pPr>
    </w:p>
    <w:p>
      <w:pPr>
        <w:tabs>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说明：</w:t>
      </w:r>
    </w:p>
    <w:p>
      <w:pPr>
        <w:tabs>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1.法定代表人参加开标会议时，须携带并按要求提交本人身份证原件。</w:t>
      </w:r>
    </w:p>
    <w:p>
      <w:pPr>
        <w:tabs>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2.若</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为事业单位或其他组织或分支机构（仅当</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注明允许分支机构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的），则法定代表人（单位负责人）处的签署人可为单位负责人。</w:t>
      </w:r>
    </w:p>
    <w:p>
      <w:pPr>
        <w:tabs>
          <w:tab w:val="left" w:pos="5580"/>
        </w:tabs>
        <w:spacing w:line="360" w:lineRule="auto"/>
        <w:jc w:val="left"/>
        <w:outlineLvl w:val="9"/>
        <w:rPr>
          <w:rFonts w:ascii="宋体" w:hAnsi="宋体" w:cs="宋体"/>
          <w:i/>
          <w:color w:val="auto"/>
          <w:sz w:val="24"/>
          <w:szCs w:val="20"/>
          <w:highlight w:val="none"/>
          <w:u w:val="single"/>
        </w:rPr>
      </w:pPr>
      <w:r>
        <w:rPr>
          <w:rFonts w:hint="eastAsia" w:ascii="宋体" w:hAnsi="宋体" w:cs="宋体"/>
          <w:color w:val="auto"/>
          <w:szCs w:val="21"/>
          <w:highlight w:val="none"/>
        </w:rPr>
        <w:t>3.</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为自然人的情形，可不提供本《法定代表人资格证明书》。</w:t>
      </w:r>
    </w:p>
    <w:p>
      <w:pPr>
        <w:adjustRightInd w:val="0"/>
        <w:spacing w:line="360" w:lineRule="exact"/>
        <w:textAlignment w:val="baseline"/>
        <w:outlineLvl w:val="9"/>
        <w:rPr>
          <w:rFonts w:hint="eastAsia" w:ascii="宋体" w:hAnsi="宋体" w:cs="宋体"/>
          <w:b/>
          <w:bCs/>
          <w:color w:val="auto"/>
          <w:sz w:val="24"/>
          <w:highlight w:val="none"/>
          <w:lang w:val="en-US" w:eastAsia="zh-CN"/>
        </w:rPr>
      </w:pPr>
    </w:p>
    <w:p>
      <w:pPr>
        <w:adjustRightInd w:val="0"/>
        <w:spacing w:line="360" w:lineRule="exact"/>
        <w:textAlignment w:val="baseline"/>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 xml:space="preserve">  授权委托书（如有，实质性格式）</w:t>
      </w:r>
    </w:p>
    <w:p>
      <w:pPr>
        <w:adjustRightInd w:val="0"/>
        <w:spacing w:line="360" w:lineRule="exact"/>
        <w:textAlignment w:val="baseline"/>
        <w:outlineLvl w:val="9"/>
        <w:rPr>
          <w:rFonts w:ascii="宋体" w:hAnsi="宋体" w:cs="宋体"/>
          <w:b/>
          <w:bCs/>
          <w:color w:val="auto"/>
          <w:szCs w:val="21"/>
          <w:highlight w:val="none"/>
        </w:rPr>
      </w:pPr>
    </w:p>
    <w:p>
      <w:pPr>
        <w:adjustRightInd w:val="0"/>
        <w:spacing w:line="360" w:lineRule="exact"/>
        <w:textAlignment w:val="baseline"/>
        <w:outlineLvl w:val="9"/>
        <w:rPr>
          <w:rFonts w:ascii="宋体" w:hAnsi="宋体" w:cs="宋体"/>
          <w:color w:val="auto"/>
          <w:sz w:val="24"/>
          <w:highlight w:val="none"/>
        </w:rPr>
      </w:pPr>
    </w:p>
    <w:p>
      <w:pPr>
        <w:adjustRightInd w:val="0"/>
        <w:spacing w:line="360" w:lineRule="exact"/>
        <w:jc w:val="center"/>
        <w:textAlignment w:val="baseline"/>
        <w:outlineLvl w:val="9"/>
        <w:rPr>
          <w:rFonts w:ascii="宋体" w:hAnsi="宋体" w:cs="宋体"/>
          <w:b/>
          <w:color w:val="auto"/>
          <w:sz w:val="28"/>
          <w:szCs w:val="28"/>
          <w:highlight w:val="none"/>
        </w:rPr>
      </w:pPr>
      <w:r>
        <w:rPr>
          <w:rFonts w:hint="eastAsia" w:ascii="宋体" w:hAnsi="宋体" w:cs="宋体"/>
          <w:b/>
          <w:color w:val="auto"/>
          <w:sz w:val="28"/>
          <w:szCs w:val="28"/>
          <w:highlight w:val="none"/>
        </w:rPr>
        <w:t>授权委托书</w:t>
      </w:r>
    </w:p>
    <w:p>
      <w:pPr>
        <w:ind w:left="1260"/>
        <w:outlineLvl w:val="9"/>
        <w:rPr>
          <w:rFonts w:ascii="宋体" w:hAnsi="宋体" w:cs="宋体"/>
          <w:color w:val="auto"/>
          <w:highlight w:val="none"/>
        </w:rPr>
      </w:pPr>
    </w:p>
    <w:p>
      <w:pPr>
        <w:adjustRightInd w:val="0"/>
        <w:snapToGrid w:val="0"/>
        <w:spacing w:line="480" w:lineRule="exact"/>
        <w:ind w:firstLine="451" w:firstLineChars="215"/>
        <w:outlineLvl w:val="9"/>
        <w:rPr>
          <w:rFonts w:ascii="宋体" w:hAnsi="宋体" w:cs="宋体"/>
          <w:color w:val="auto"/>
          <w:szCs w:val="21"/>
          <w:highlight w:val="none"/>
        </w:rPr>
      </w:pPr>
      <w:r>
        <w:rPr>
          <w:rFonts w:hint="eastAsia" w:ascii="宋体" w:hAnsi="宋体" w:cs="宋体"/>
          <w:color w:val="auto"/>
          <w:szCs w:val="21"/>
          <w:highlight w:val="none"/>
        </w:rPr>
        <w:t xml:space="preserve">本授权委托书声明：本人 </w:t>
      </w:r>
      <w:r>
        <w:rPr>
          <w:rFonts w:hint="eastAsia" w:ascii="宋体" w:hAnsi="宋体" w:cs="宋体"/>
          <w:color w:val="auto"/>
          <w:szCs w:val="21"/>
          <w:highlight w:val="none"/>
          <w:u w:val="single"/>
        </w:rPr>
        <w:t xml:space="preserve">  （法定代表人姓名）   </w:t>
      </w: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供应商</w:t>
      </w:r>
      <w:r>
        <w:rPr>
          <w:rFonts w:hint="eastAsia" w:ascii="宋体" w:hAnsi="宋体" w:cs="宋体"/>
          <w:color w:val="auto"/>
          <w:szCs w:val="21"/>
          <w:highlight w:val="none"/>
          <w:u w:val="single"/>
        </w:rPr>
        <w:t xml:space="preserve">名称）      </w:t>
      </w:r>
      <w:r>
        <w:rPr>
          <w:rFonts w:hint="eastAsia" w:ascii="宋体" w:hAnsi="宋体" w:cs="宋体"/>
          <w:color w:val="auto"/>
          <w:szCs w:val="21"/>
          <w:highlight w:val="none"/>
        </w:rPr>
        <w:t>的法定代表人，现授权委托</w:t>
      </w:r>
      <w:r>
        <w:rPr>
          <w:rFonts w:hint="eastAsia" w:ascii="宋体" w:hAnsi="宋体" w:cs="宋体"/>
          <w:color w:val="auto"/>
          <w:szCs w:val="21"/>
          <w:highlight w:val="none"/>
          <w:u w:val="single"/>
        </w:rPr>
        <w:t xml:space="preserve">   （被授权人的姓名）    </w:t>
      </w:r>
      <w:r>
        <w:rPr>
          <w:rFonts w:hint="eastAsia" w:ascii="宋体" w:hAnsi="宋体" w:cs="宋体"/>
          <w:color w:val="auto"/>
          <w:szCs w:val="21"/>
          <w:highlight w:val="none"/>
        </w:rPr>
        <w:t>为本次</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中我单位的合法代理人，全权负责参加本次采购项目的谈判、签订合约以及与之相关的各项工作。本单位对被授权人的签名负全部责任。</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本授权书于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日起签字生效，特此声明。</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被授权人情况如下（必填）：</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480" w:lineRule="exact"/>
        <w:ind w:firstLine="397"/>
        <w:outlineLvl w:val="9"/>
        <w:rPr>
          <w:rFonts w:ascii="宋体" w:hAnsi="宋体" w:cs="宋体"/>
          <w:color w:val="auto"/>
          <w:szCs w:val="21"/>
          <w:highlight w:val="none"/>
        </w:rPr>
      </w:pPr>
      <w:r>
        <w:rPr>
          <w:rFonts w:hint="eastAsia" w:ascii="宋体" w:hAnsi="宋体" w:cs="宋体"/>
          <w:b/>
          <w:bCs/>
          <w:color w:val="auto"/>
          <w:szCs w:val="21"/>
          <w:highlight w:val="none"/>
        </w:rPr>
        <w:t>被授权人签字</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outlineLvl w:val="9"/>
        <w:rPr>
          <w:rFonts w:ascii="宋体" w:hAnsi="宋体" w:cs="宋体"/>
          <w:color w:val="auto"/>
          <w:szCs w:val="21"/>
          <w:highlight w:val="none"/>
        </w:rPr>
      </w:pPr>
    </w:p>
    <w:p>
      <w:pPr>
        <w:spacing w:line="560" w:lineRule="exact"/>
        <w:ind w:left="4410" w:leftChars="2100"/>
        <w:outlineLvl w:val="9"/>
        <w:rPr>
          <w:rFonts w:ascii="宋体" w:hAnsi="宋体" w:cs="宋体"/>
          <w:color w:val="auto"/>
          <w:szCs w:val="21"/>
          <w:highlight w:val="none"/>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：（加盖公章）</w:t>
      </w:r>
    </w:p>
    <w:p>
      <w:pPr>
        <w:spacing w:line="560" w:lineRule="exact"/>
        <w:ind w:left="4410" w:leftChars="2100"/>
        <w:outlineLvl w:val="9"/>
        <w:rPr>
          <w:rFonts w:ascii="宋体" w:hAnsi="宋体" w:cs="宋体"/>
          <w:color w:val="auto"/>
          <w:szCs w:val="21"/>
          <w:highlight w:val="none"/>
        </w:rPr>
      </w:pPr>
      <w:r>
        <w:rPr>
          <w:rFonts w:hint="eastAsia" w:ascii="宋体" w:hAnsi="宋体" w:cs="宋体"/>
          <w:color w:val="auto"/>
          <w:szCs w:val="21"/>
          <w:highlight w:val="none"/>
        </w:rPr>
        <w:t>法定代表人签字、签章或印鉴：</w:t>
      </w:r>
    </w:p>
    <w:p>
      <w:pPr>
        <w:spacing w:line="560" w:lineRule="exact"/>
        <w:ind w:left="4410" w:leftChars="2100"/>
        <w:outlineLvl w:val="9"/>
        <w:rPr>
          <w:rFonts w:ascii="宋体" w:hAnsi="宋体" w:cs="宋体"/>
          <w:color w:val="auto"/>
          <w:szCs w:val="21"/>
          <w:highlight w:val="none"/>
        </w:rPr>
      </w:pPr>
      <w:r>
        <w:rPr>
          <w:rFonts w:hint="eastAsia" w:ascii="宋体" w:hAnsi="宋体" w:cs="宋体"/>
          <w:color w:val="auto"/>
          <w:szCs w:val="21"/>
          <w:highlight w:val="none"/>
        </w:rPr>
        <w:t>日期：    年    月    日</w:t>
      </w:r>
    </w:p>
    <w:p>
      <w:pPr>
        <w:spacing w:line="360" w:lineRule="auto"/>
        <w:outlineLvl w:val="9"/>
        <w:rPr>
          <w:rFonts w:ascii="宋体" w:hAnsi="宋体" w:cs="宋体"/>
          <w:color w:val="auto"/>
          <w:szCs w:val="21"/>
          <w:highlight w:val="none"/>
        </w:rPr>
      </w:pPr>
    </w:p>
    <w:p>
      <w:p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被授权人</w:t>
      </w:r>
      <w:r>
        <w:rPr>
          <w:rFonts w:hint="eastAsia" w:ascii="宋体" w:hAnsi="宋体" w:cs="宋体"/>
          <w:color w:val="auto"/>
          <w:spacing w:val="-3"/>
          <w:szCs w:val="21"/>
          <w:highlight w:val="none"/>
        </w:rPr>
        <w:t>有效期内的身份证正反面</w:t>
      </w:r>
      <w:r>
        <w:rPr>
          <w:rFonts w:hint="eastAsia" w:ascii="宋体" w:hAnsi="宋体" w:cs="宋体"/>
          <w:color w:val="auto"/>
          <w:szCs w:val="21"/>
          <w:highlight w:val="none"/>
        </w:rPr>
        <w:t>复印件：</w:t>
      </w:r>
    </w:p>
    <w:tbl>
      <w:tblPr>
        <w:tblStyle w:val="17"/>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9" w:hRule="atLeast"/>
        </w:trPr>
        <w:tc>
          <w:tcPr>
            <w:tcW w:w="4673"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正面</w:t>
            </w:r>
          </w:p>
          <w:p>
            <w:pPr>
              <w:tabs>
                <w:tab w:val="left" w:pos="5580"/>
              </w:tabs>
              <w:spacing w:line="360" w:lineRule="auto"/>
              <w:jc w:val="center"/>
              <w:outlineLvl w:val="9"/>
              <w:rPr>
                <w:rFonts w:ascii="宋体" w:hAnsi="宋体" w:cs="宋体"/>
                <w:color w:val="auto"/>
                <w:szCs w:val="21"/>
                <w:highlight w:val="none"/>
              </w:rPr>
            </w:pPr>
          </w:p>
        </w:tc>
        <w:tc>
          <w:tcPr>
            <w:tcW w:w="4536" w:type="dxa"/>
            <w:vAlign w:val="center"/>
          </w:tcPr>
          <w:p>
            <w:pPr>
              <w:tabs>
                <w:tab w:val="left" w:pos="5580"/>
              </w:tabs>
              <w:spacing w:line="360" w:lineRule="auto"/>
              <w:jc w:val="center"/>
              <w:outlineLvl w:val="9"/>
              <w:rPr>
                <w:rFonts w:ascii="宋体" w:hAnsi="宋体" w:cs="宋体"/>
                <w:color w:val="auto"/>
                <w:szCs w:val="21"/>
                <w:highlight w:val="none"/>
              </w:rPr>
            </w:pPr>
          </w:p>
          <w:p>
            <w:pPr>
              <w:tabs>
                <w:tab w:val="left" w:pos="5580"/>
              </w:tabs>
              <w:spacing w:line="360" w:lineRule="auto"/>
              <w:jc w:val="center"/>
              <w:outlineLvl w:val="9"/>
              <w:rPr>
                <w:rFonts w:ascii="宋体" w:hAnsi="宋体" w:cs="宋体"/>
                <w:color w:val="auto"/>
                <w:szCs w:val="21"/>
                <w:highlight w:val="none"/>
              </w:rPr>
            </w:pPr>
            <w:r>
              <w:rPr>
                <w:rFonts w:hint="eastAsia" w:ascii="宋体" w:hAnsi="宋体" w:cs="宋体"/>
                <w:color w:val="auto"/>
                <w:szCs w:val="21"/>
                <w:highlight w:val="none"/>
              </w:rPr>
              <w:t>反面</w:t>
            </w:r>
          </w:p>
          <w:p>
            <w:pPr>
              <w:tabs>
                <w:tab w:val="left" w:pos="5580"/>
              </w:tabs>
              <w:spacing w:line="360" w:lineRule="auto"/>
              <w:jc w:val="center"/>
              <w:outlineLvl w:val="9"/>
              <w:rPr>
                <w:rFonts w:ascii="宋体" w:hAnsi="宋体" w:cs="宋体"/>
                <w:color w:val="auto"/>
                <w:szCs w:val="21"/>
                <w:highlight w:val="none"/>
              </w:rPr>
            </w:pPr>
          </w:p>
        </w:tc>
      </w:tr>
    </w:tbl>
    <w:p>
      <w:p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注：</w:t>
      </w:r>
    </w:p>
    <w:p>
      <w:pPr>
        <w:spacing w:line="360" w:lineRule="auto"/>
        <w:outlineLvl w:val="9"/>
        <w:rPr>
          <w:rFonts w:ascii="宋体" w:hAnsi="宋体" w:cs="宋体"/>
          <w:color w:val="auto"/>
          <w:szCs w:val="21"/>
          <w:highlight w:val="none"/>
        </w:rPr>
      </w:pPr>
      <w:r>
        <w:rPr>
          <w:rFonts w:hint="eastAsia" w:ascii="宋体" w:hAnsi="宋体" w:cs="宋体"/>
          <w:color w:val="auto"/>
          <w:szCs w:val="21"/>
          <w:highlight w:val="none"/>
        </w:rPr>
        <w:t>1.被授权人参加开标会议时，须携带并按要求提交授权委托书和本人身份证原件。</w:t>
      </w:r>
    </w:p>
    <w:p>
      <w:pPr>
        <w:widowControl/>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2.身份证复印件信息必须清晰可辨，如因清晰度不够引起的一切后果由</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自行承担。</w:t>
      </w:r>
    </w:p>
    <w:p>
      <w:pPr>
        <w:widowControl/>
        <w:jc w:val="left"/>
        <w:outlineLvl w:val="9"/>
        <w:rPr>
          <w:rFonts w:ascii="宋体" w:hAnsi="宋体" w:cs="宋体"/>
          <w:color w:val="auto"/>
          <w:szCs w:val="21"/>
          <w:highlight w:val="none"/>
        </w:rPr>
      </w:pPr>
    </w:p>
    <w:p>
      <w:pPr>
        <w:widowControl/>
        <w:jc w:val="left"/>
        <w:outlineLvl w:val="9"/>
        <w:rPr>
          <w:rFonts w:ascii="宋体" w:hAnsi="宋体" w:cs="宋体"/>
          <w:color w:val="auto"/>
          <w:sz w:val="24"/>
          <w:highlight w:val="none"/>
        </w:rPr>
      </w:pPr>
    </w:p>
    <w:p>
      <w:pPr>
        <w:widowControl/>
        <w:jc w:val="left"/>
        <w:outlineLvl w:val="9"/>
        <w:rPr>
          <w:rFonts w:ascii="宋体" w:hAnsi="宋体" w:cs="宋体"/>
          <w:color w:val="auto"/>
          <w:sz w:val="24"/>
          <w:highlight w:val="none"/>
        </w:rPr>
      </w:pPr>
    </w:p>
    <w:p>
      <w:pPr>
        <w:widowControl/>
        <w:jc w:val="left"/>
        <w:outlineLvl w:val="9"/>
        <w:rPr>
          <w:rFonts w:ascii="宋体" w:hAnsi="宋体" w:cs="宋体"/>
          <w:b/>
          <w:bCs/>
          <w:color w:val="auto"/>
          <w:sz w:val="24"/>
          <w:highlight w:val="none"/>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rPr>
        <w:t xml:space="preserve">  政府采购供应商信用承诺书</w:t>
      </w:r>
      <w:r>
        <w:rPr>
          <w:rFonts w:hint="eastAsia" w:ascii="宋体" w:hAnsi="宋体" w:cs="宋体"/>
          <w:b/>
          <w:bCs/>
          <w:color w:val="auto"/>
          <w:sz w:val="24"/>
          <w:szCs w:val="20"/>
          <w:highlight w:val="none"/>
        </w:rPr>
        <w:t>（实质性格式）</w:t>
      </w:r>
    </w:p>
    <w:p>
      <w:pPr>
        <w:spacing w:line="560" w:lineRule="exact"/>
        <w:ind w:firstLine="321" w:firstLineChars="100"/>
        <w:jc w:val="center"/>
        <w:outlineLvl w:val="9"/>
        <w:rPr>
          <w:rFonts w:ascii="宋体" w:hAnsi="宋体" w:cs="宋体"/>
          <w:b/>
          <w:color w:val="auto"/>
          <w:sz w:val="32"/>
          <w:szCs w:val="32"/>
          <w:highlight w:val="none"/>
        </w:rPr>
      </w:pPr>
    </w:p>
    <w:p>
      <w:pPr>
        <w:spacing w:line="560" w:lineRule="exact"/>
        <w:ind w:firstLine="281" w:firstLineChars="100"/>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政府采购供应商信用承诺书</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为维护公开、公平、公正的政府采购市场秩序，树立诚实守信的供应商形象，本单位在参与政府采购活动中,自愿作出以下承诺：</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一、严格遵守国家法律、法规和规章，全面履行应尽的责任和义务，全面做到履约守信，具备《政府采购法》第二十二条第一款规定的条件。</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四、严格依法开展生产经营活动，主动接受行业监管，自愿接受依法开展的日常检查；违法失信经营后将自愿接受约束和惩戒，并依法承担相应责任。</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五、承诺本单位自觉接受行政管理部门、行业组织、社会公众、新闻舆论的监督。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七、承诺本单位在信用中国（江苏）网站中无违法违规、较重或严重失信记录。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八、承诺本单位提出政府采购质疑和投诉坚持依法依规、诚实信用原则。</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九、根据政府采购相关法律法规的规定需要作出的其他承诺。 </w:t>
      </w:r>
    </w:p>
    <w:p>
      <w:pPr>
        <w:spacing w:line="360" w:lineRule="auto"/>
        <w:ind w:firstLine="480"/>
        <w:outlineLvl w:val="9"/>
        <w:rPr>
          <w:rFonts w:hint="eastAsia" w:ascii="宋体" w:hAnsi="宋体" w:cs="宋体"/>
          <w:color w:val="auto"/>
          <w:szCs w:val="21"/>
          <w:highlight w:val="none"/>
        </w:rPr>
      </w:pPr>
      <w:r>
        <w:rPr>
          <w:rFonts w:hint="eastAsia" w:ascii="宋体" w:hAnsi="宋体" w:cs="宋体"/>
          <w:color w:val="auto"/>
          <w:szCs w:val="21"/>
          <w:highlight w:val="none"/>
        </w:rPr>
        <w:t>十、承诺本单位若违背承诺约定，经查实，愿意接受行业主管部门和信用管理部门相应的规定处罚，承担违约责任，并依法承担相应的法律责任。</w:t>
      </w:r>
    </w:p>
    <w:p>
      <w:pPr>
        <w:spacing w:line="360" w:lineRule="auto"/>
        <w:ind w:firstLine="480"/>
        <w:outlineLvl w:val="9"/>
        <w:rPr>
          <w:rFonts w:ascii="宋体" w:hAnsi="宋体" w:cs="宋体"/>
          <w:color w:val="auto"/>
          <w:szCs w:val="21"/>
          <w:highlight w:val="none"/>
        </w:rPr>
      </w:pPr>
      <w:r>
        <w:rPr>
          <w:rFonts w:hint="eastAsia" w:ascii="宋体" w:hAnsi="宋体" w:cs="宋体"/>
          <w:color w:val="auto"/>
          <w:szCs w:val="21"/>
          <w:highlight w:val="none"/>
        </w:rPr>
        <w:t>十一、承诺本单位同意将以上承诺事项上网公示，违背承诺约定行为将作为失信信息，记录到常州市公共信用信息系统，并予以公开。</w:t>
      </w:r>
    </w:p>
    <w:p>
      <w:pPr>
        <w:pStyle w:val="25"/>
        <w:spacing w:line="360" w:lineRule="auto"/>
        <w:ind w:right="1050" w:rightChars="500" w:firstLine="2520" w:firstLineChars="1200"/>
        <w:jc w:val="both"/>
        <w:outlineLvl w:val="9"/>
        <w:rPr>
          <w:rFonts w:ascii="宋体" w:hAnsi="宋体" w:eastAsia="宋体" w:cs="宋体"/>
          <w:color w:val="auto"/>
          <w:sz w:val="21"/>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spacing w:line="360" w:lineRule="auto"/>
        <w:outlineLvl w:val="9"/>
        <w:rPr>
          <w:rFonts w:ascii="宋体" w:hAnsi="宋体" w:cs="宋体"/>
          <w:color w:val="auto"/>
          <w:sz w:val="24"/>
          <w:szCs w:val="20"/>
          <w:highlight w:val="none"/>
        </w:rPr>
      </w:pPr>
    </w:p>
    <w:p>
      <w:pPr>
        <w:spacing w:line="360" w:lineRule="auto"/>
        <w:outlineLvl w:val="9"/>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8</w:t>
      </w:r>
      <w:r>
        <w:rPr>
          <w:rFonts w:hint="eastAsia" w:ascii="宋体" w:hAnsi="宋体" w:cs="宋体"/>
          <w:b/>
          <w:bCs/>
          <w:color w:val="auto"/>
          <w:sz w:val="24"/>
          <w:szCs w:val="20"/>
          <w:highlight w:val="none"/>
        </w:rPr>
        <w:t xml:space="preserve">  开标一览表（实质性格式）</w:t>
      </w:r>
    </w:p>
    <w:p>
      <w:pPr>
        <w:spacing w:line="360" w:lineRule="exact"/>
        <w:jc w:val="center"/>
        <w:outlineLvl w:val="9"/>
        <w:rPr>
          <w:rFonts w:ascii="宋体" w:hAnsi="宋体" w:cs="宋体"/>
          <w:b/>
          <w:color w:val="auto"/>
          <w:sz w:val="36"/>
          <w:szCs w:val="36"/>
          <w:highlight w:val="none"/>
        </w:rPr>
      </w:pPr>
    </w:p>
    <w:p>
      <w:pPr>
        <w:spacing w:line="360" w:lineRule="exact"/>
        <w:jc w:val="center"/>
        <w:outlineLvl w:val="9"/>
        <w:rPr>
          <w:rFonts w:ascii="宋体" w:hAnsi="宋体" w:cs="宋体"/>
          <w:b/>
          <w:color w:val="auto"/>
          <w:sz w:val="36"/>
          <w:szCs w:val="36"/>
          <w:highlight w:val="none"/>
        </w:rPr>
      </w:pPr>
    </w:p>
    <w:p>
      <w:pPr>
        <w:spacing w:line="360" w:lineRule="exact"/>
        <w:jc w:val="center"/>
        <w:outlineLvl w:val="9"/>
        <w:rPr>
          <w:rFonts w:ascii="宋体" w:hAnsi="宋体" w:cs="宋体"/>
          <w:b/>
          <w:color w:val="auto"/>
          <w:sz w:val="36"/>
          <w:szCs w:val="36"/>
          <w:highlight w:val="none"/>
        </w:rPr>
      </w:pPr>
      <w:r>
        <w:rPr>
          <w:rFonts w:hint="eastAsia" w:ascii="宋体" w:hAnsi="宋体" w:cs="宋体"/>
          <w:b/>
          <w:color w:val="auto"/>
          <w:sz w:val="36"/>
          <w:szCs w:val="36"/>
          <w:highlight w:val="none"/>
        </w:rPr>
        <w:t>开标一览表</w:t>
      </w:r>
    </w:p>
    <w:p>
      <w:pPr>
        <w:tabs>
          <w:tab w:val="left" w:pos="1800"/>
          <w:tab w:val="left" w:pos="5580"/>
        </w:tabs>
        <w:spacing w:line="360" w:lineRule="auto"/>
        <w:jc w:val="left"/>
        <w:outlineLvl w:val="9"/>
        <w:rPr>
          <w:rFonts w:ascii="宋体" w:hAnsi="宋体" w:cs="宋体"/>
          <w:i/>
          <w:color w:val="auto"/>
          <w:szCs w:val="21"/>
          <w:highlight w:val="none"/>
        </w:rPr>
      </w:pP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67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772" w:type="dxa"/>
            <w:vAlign w:val="center"/>
          </w:tcPr>
          <w:p>
            <w:pPr>
              <w:widowControl/>
              <w:spacing w:line="360" w:lineRule="auto"/>
              <w:jc w:val="center"/>
              <w:outlineLvl w:val="9"/>
              <w:rPr>
                <w:rFonts w:hint="eastAsia" w:ascii="宋体" w:hAnsi="宋体" w:eastAsia="宋体" w:cs="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772" w:type="dxa"/>
            <w:vAlign w:val="center"/>
          </w:tcPr>
          <w:p>
            <w:pPr>
              <w:widowControl/>
              <w:spacing w:line="360" w:lineRule="auto"/>
              <w:jc w:val="center"/>
              <w:outlineLvl w:val="9"/>
              <w:rPr>
                <w:rFonts w:hint="eastAsia" w:ascii="宋体" w:hAnsi="宋体" w:eastAsia="宋体" w:cs="宋体"/>
                <w:color w:val="auto"/>
                <w:sz w:val="21"/>
                <w:szCs w:val="21"/>
                <w:highlight w:val="none"/>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固定上浮率</w:t>
            </w:r>
          </w:p>
        </w:tc>
        <w:tc>
          <w:tcPr>
            <w:tcW w:w="6772" w:type="dxa"/>
            <w:vAlign w:val="center"/>
          </w:tcPr>
          <w:p>
            <w:pPr>
              <w:widowControl/>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实际供货组合金额</w:t>
            </w:r>
          </w:p>
        </w:tc>
        <w:tc>
          <w:tcPr>
            <w:tcW w:w="6772" w:type="dxa"/>
            <w:vAlign w:val="center"/>
          </w:tcPr>
          <w:p>
            <w:pPr>
              <w:widowControl/>
              <w:spacing w:line="360" w:lineRule="auto"/>
              <w:jc w:val="left"/>
              <w:outlineLvl w:val="9"/>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500</w:t>
            </w:r>
            <w:r>
              <w:rPr>
                <w:rFonts w:hint="eastAsia" w:ascii="宋体" w:hAnsi="宋体" w:cs="宋体"/>
                <w:color w:val="auto"/>
                <w:sz w:val="21"/>
                <w:szCs w:val="21"/>
                <w:highlight w:val="none"/>
                <w:lang w:val="en-US" w:eastAsia="zh-CN"/>
              </w:rPr>
              <w:t>元×</w:t>
            </w:r>
            <w:r>
              <w:rPr>
                <w:rFonts w:hint="eastAsia" w:ascii="宋体" w:hAnsi="宋体" w:eastAsia="宋体" w:cs="宋体"/>
                <w:color w:val="auto"/>
                <w:sz w:val="21"/>
                <w:szCs w:val="21"/>
                <w:highlight w:val="none"/>
              </w:rPr>
              <w:t>（1+固定上浮率）</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none"/>
                <w:lang w:val="en-US" w:eastAsia="zh-CN"/>
              </w:rPr>
              <w:t>元（计算结果保留小数点后两位，例：</w:t>
            </w:r>
            <w:r>
              <w:rPr>
                <w:rFonts w:hint="eastAsia" w:ascii="宋体" w:hAnsi="宋体" w:eastAsia="宋体" w:cs="宋体"/>
                <w:color w:val="auto"/>
                <w:sz w:val="21"/>
                <w:szCs w:val="21"/>
                <w:highlight w:val="none"/>
              </w:rPr>
              <w:t>固定上浮率</w:t>
            </w:r>
            <w:r>
              <w:rPr>
                <w:rFonts w:hint="eastAsia" w:ascii="宋体" w:hAnsi="宋体" w:cs="宋体"/>
                <w:color w:val="auto"/>
                <w:sz w:val="21"/>
                <w:szCs w:val="21"/>
                <w:highlight w:val="none"/>
                <w:u w:val="none"/>
                <w:lang w:val="en-US" w:eastAsia="zh-CN"/>
              </w:rPr>
              <w:t>10%，填写金额为</w:t>
            </w:r>
            <w:r>
              <w:rPr>
                <w:rFonts w:hint="eastAsia" w:ascii="宋体" w:hAnsi="宋体" w:cs="宋体"/>
                <w:color w:val="auto"/>
                <w:sz w:val="21"/>
                <w:szCs w:val="21"/>
                <w:highlight w:val="none"/>
                <w:u w:val="single"/>
                <w:lang w:val="en-US" w:eastAsia="zh-CN"/>
              </w:rPr>
              <w:t>550.00</w:t>
            </w:r>
            <w:r>
              <w:rPr>
                <w:rFonts w:hint="eastAsia" w:ascii="宋体" w:hAnsi="宋体" w:cs="宋体"/>
                <w:color w:val="auto"/>
                <w:sz w:val="21"/>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1983" w:type="dxa"/>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6772" w:type="dxa"/>
            <w:vAlign w:val="center"/>
          </w:tcPr>
          <w:p>
            <w:pPr>
              <w:widowControl/>
              <w:spacing w:line="360" w:lineRule="auto"/>
              <w:jc w:val="left"/>
              <w:outlineLvl w:val="9"/>
              <w:rPr>
                <w:rFonts w:hint="default" w:ascii="宋体" w:hAnsi="宋体" w:eastAsia="宋体" w:cs="宋体"/>
                <w:color w:val="auto"/>
                <w:sz w:val="21"/>
                <w:szCs w:val="21"/>
                <w:highlight w:val="none"/>
                <w:lang w:val="en-US" w:eastAsia="zh-CN"/>
              </w:rPr>
            </w:pPr>
          </w:p>
        </w:tc>
      </w:tr>
    </w:tbl>
    <w:p>
      <w:pPr>
        <w:autoSpaceDE w:val="0"/>
        <w:autoSpaceDN w:val="0"/>
        <w:adjustRightInd w:val="0"/>
        <w:jc w:val="left"/>
        <w:outlineLvl w:val="9"/>
        <w:rPr>
          <w:rFonts w:ascii="宋体" w:hAnsi="宋体" w:cs="宋体"/>
          <w:color w:val="auto"/>
          <w:kern w:val="0"/>
          <w:szCs w:val="21"/>
          <w:highlight w:val="none"/>
        </w:rPr>
      </w:pPr>
    </w:p>
    <w:p>
      <w:pPr>
        <w:autoSpaceDE w:val="0"/>
        <w:autoSpaceDN w:val="0"/>
        <w:adjustRightInd w:val="0"/>
        <w:spacing w:line="360" w:lineRule="auto"/>
        <w:jc w:val="left"/>
        <w:outlineLvl w:val="9"/>
        <w:rPr>
          <w:rFonts w:ascii="宋体" w:hAnsi="宋体" w:cs="宋体"/>
          <w:color w:val="auto"/>
          <w:szCs w:val="21"/>
          <w:highlight w:val="none"/>
        </w:rPr>
      </w:pPr>
      <w:r>
        <w:rPr>
          <w:rFonts w:hint="eastAsia" w:ascii="宋体" w:hAnsi="宋体" w:cs="宋体"/>
          <w:color w:val="auto"/>
          <w:kern w:val="0"/>
          <w:szCs w:val="21"/>
          <w:highlight w:val="none"/>
        </w:rPr>
        <w:t>注：</w:t>
      </w:r>
      <w:r>
        <w:rPr>
          <w:rFonts w:hint="eastAsia" w:ascii="宋体" w:hAnsi="宋体" w:cs="宋体"/>
          <w:color w:val="auto"/>
          <w:szCs w:val="21"/>
          <w:highlight w:val="none"/>
        </w:rPr>
        <w:t>此表中实际供货组合金额应和《商品供货分项报价表》中的</w:t>
      </w:r>
      <w:r>
        <w:rPr>
          <w:rFonts w:hint="eastAsia" w:ascii="宋体" w:hAnsi="宋体" w:cs="宋体"/>
          <w:color w:val="auto"/>
          <w:szCs w:val="21"/>
          <w:highlight w:val="none"/>
          <w:lang w:val="en-US" w:eastAsia="zh-CN"/>
        </w:rPr>
        <w:t>金额</w:t>
      </w:r>
      <w:r>
        <w:rPr>
          <w:rFonts w:hint="eastAsia" w:ascii="宋体" w:hAnsi="宋体" w:cs="宋体"/>
          <w:color w:val="auto"/>
          <w:szCs w:val="21"/>
          <w:highlight w:val="none"/>
        </w:rPr>
        <w:t>一致。</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widowControl/>
        <w:jc w:val="left"/>
        <w:outlineLvl w:val="9"/>
        <w:rPr>
          <w:rFonts w:ascii="宋体" w:hAnsi="宋体" w:cs="宋体"/>
          <w:color w:val="auto"/>
          <w:sz w:val="24"/>
          <w:szCs w:val="20"/>
          <w:highlight w:val="none"/>
        </w:rPr>
      </w:pPr>
      <w:r>
        <w:rPr>
          <w:rFonts w:hint="eastAsia" w:ascii="宋体" w:hAnsi="宋体" w:cs="宋体"/>
          <w:color w:val="auto"/>
          <w:sz w:val="24"/>
          <w:szCs w:val="20"/>
          <w:highlight w:val="none"/>
        </w:rPr>
        <w:br w:type="page"/>
      </w:r>
    </w:p>
    <w:p>
      <w:pPr>
        <w:spacing w:line="360" w:lineRule="auto"/>
        <w:outlineLvl w:val="9"/>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9</w:t>
      </w:r>
      <w:r>
        <w:rPr>
          <w:rFonts w:hint="eastAsia" w:ascii="宋体" w:hAnsi="宋体" w:cs="宋体"/>
          <w:b/>
          <w:bCs/>
          <w:color w:val="auto"/>
          <w:sz w:val="24"/>
          <w:szCs w:val="20"/>
          <w:highlight w:val="none"/>
        </w:rPr>
        <w:t xml:space="preserve">  商品供货分项报价表</w:t>
      </w:r>
    </w:p>
    <w:p>
      <w:pPr>
        <w:pStyle w:val="37"/>
        <w:shd w:val="clear"/>
        <w:spacing w:line="360" w:lineRule="auto"/>
        <w:jc w:val="center"/>
        <w:outlineLvl w:val="9"/>
        <w:rPr>
          <w:rFonts w:hint="eastAsia" w:cs="宋体" w:asciiTheme="minorEastAsia" w:hAnsiTheme="minorEastAsia" w:eastAsiaTheme="minorEastAsia"/>
          <w:b/>
          <w:color w:val="auto"/>
          <w:sz w:val="28"/>
          <w:szCs w:val="28"/>
          <w:highlight w:val="none"/>
          <w:lang w:eastAsia="zh-CN"/>
        </w:rPr>
      </w:pPr>
      <w:r>
        <w:rPr>
          <w:rFonts w:hint="eastAsia" w:cs="宋体" w:asciiTheme="minorEastAsia" w:hAnsiTheme="minorEastAsia" w:eastAsiaTheme="minorEastAsia"/>
          <w:b/>
          <w:color w:val="auto"/>
          <w:sz w:val="28"/>
          <w:szCs w:val="28"/>
          <w:highlight w:val="none"/>
        </w:rPr>
        <w:t>商品供货分项报价表</w:t>
      </w:r>
    </w:p>
    <w:tbl>
      <w:tblPr>
        <w:tblStyle w:val="17"/>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05"/>
        <w:gridCol w:w="2637"/>
        <w:gridCol w:w="678"/>
        <w:gridCol w:w="767"/>
        <w:gridCol w:w="866"/>
        <w:gridCol w:w="851"/>
        <w:gridCol w:w="1009"/>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1" w:type="dxa"/>
            <w:gridSpan w:val="9"/>
            <w:tcBorders>
              <w:top w:val="double" w:color="auto" w:sz="4" w:space="0"/>
              <w:left w:val="double" w:color="auto" w:sz="4" w:space="0"/>
              <w:bottom w:val="single" w:color="auto" w:sz="4" w:space="0"/>
              <w:right w:val="double" w:color="auto" w:sz="4" w:space="0"/>
            </w:tcBorders>
            <w:vAlign w:val="center"/>
          </w:tcPr>
          <w:p>
            <w:pPr>
              <w:pStyle w:val="37"/>
              <w:shd w:val="clear"/>
              <w:spacing w:line="360" w:lineRule="auto"/>
              <w:jc w:val="center"/>
              <w:outlineLvl w:val="9"/>
              <w:rPr>
                <w:rFonts w:hint="default" w:ascii="宋体" w:hAnsi="宋体" w:eastAsia="宋体" w:cs="宋体"/>
                <w:color w:val="auto"/>
                <w:sz w:val="21"/>
                <w:szCs w:val="21"/>
                <w:highlight w:val="none"/>
                <w:lang w:val="en-US" w:eastAsia="zh-CN"/>
              </w:rPr>
            </w:pPr>
            <w:r>
              <w:rPr>
                <w:rFonts w:hint="eastAsia" w:hAnsi="宋体" w:cs="宋体"/>
                <w:b/>
                <w:bCs/>
                <w:color w:val="auto"/>
                <w:sz w:val="21"/>
                <w:szCs w:val="21"/>
                <w:highlight w:val="none"/>
                <w:lang w:val="en-US" w:eastAsia="zh-CN"/>
              </w:rPr>
              <w:t>商品供货组合方案一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商品名称</w:t>
            </w:r>
          </w:p>
        </w:tc>
        <w:tc>
          <w:tcPr>
            <w:tcW w:w="263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品牌及规格</w:t>
            </w:r>
          </w:p>
        </w:tc>
        <w:tc>
          <w:tcPr>
            <w:tcW w:w="678"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66"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pStyle w:val="37"/>
              <w:shd w:val="clear"/>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pPr>
              <w:pStyle w:val="37"/>
              <w:shd w:val="clear"/>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009"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彩图</w:t>
            </w:r>
          </w:p>
        </w:tc>
        <w:tc>
          <w:tcPr>
            <w:tcW w:w="1009" w:type="dxa"/>
            <w:tcBorders>
              <w:top w:val="single" w:color="auto" w:sz="4" w:space="0"/>
              <w:left w:val="single" w:color="auto" w:sz="4" w:space="0"/>
              <w:bottom w:val="single" w:color="auto" w:sz="4" w:space="0"/>
              <w:right w:val="doub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p>
        </w:tc>
        <w:tc>
          <w:tcPr>
            <w:tcW w:w="1505"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263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678"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51"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double" w:color="auto" w:sz="4" w:space="0"/>
            </w:tcBorders>
          </w:tcPr>
          <w:p>
            <w:pPr>
              <w:pStyle w:val="37"/>
              <w:shd w:val="clear"/>
              <w:spacing w:line="360" w:lineRule="auto"/>
              <w:jc w:val="center"/>
              <w:outlineLvl w:val="9"/>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9" w:type="dxa"/>
            <w:gridSpan w:val="4"/>
            <w:tcBorders>
              <w:top w:val="single" w:color="auto" w:sz="4" w:space="0"/>
              <w:left w:val="doub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方案一合计</w:t>
            </w:r>
          </w:p>
        </w:tc>
        <w:tc>
          <w:tcPr>
            <w:tcW w:w="767"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rPr>
            </w:pPr>
          </w:p>
        </w:tc>
        <w:tc>
          <w:tcPr>
            <w:tcW w:w="866"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851"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rPr>
            </w:pPr>
          </w:p>
        </w:tc>
        <w:tc>
          <w:tcPr>
            <w:tcW w:w="1009"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1009" w:type="dxa"/>
            <w:tcBorders>
              <w:top w:val="single" w:color="auto" w:sz="4" w:space="0"/>
              <w:left w:val="single" w:color="auto" w:sz="4" w:space="0"/>
              <w:bottom w:val="double" w:color="auto" w:sz="4" w:space="0"/>
              <w:right w:val="double" w:color="auto" w:sz="4" w:space="0"/>
            </w:tcBorders>
            <w:vAlign w:val="center"/>
          </w:tcPr>
          <w:p>
            <w:pPr>
              <w:pStyle w:val="37"/>
              <w:shd w:val="clear"/>
              <w:spacing w:line="360" w:lineRule="auto"/>
              <w:jc w:val="center"/>
              <w:outlineLvl w:val="9"/>
              <w:rPr>
                <w:rFonts w:hint="eastAsia" w:ascii="宋体"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1" w:type="dxa"/>
            <w:gridSpan w:val="9"/>
            <w:tcBorders>
              <w:top w:val="double" w:color="auto" w:sz="4" w:space="0"/>
              <w:left w:val="double" w:color="auto" w:sz="4" w:space="0"/>
              <w:bottom w:val="single" w:color="auto" w:sz="4" w:space="0"/>
              <w:right w:val="double" w:color="auto" w:sz="4" w:space="0"/>
            </w:tcBorders>
            <w:vAlign w:val="center"/>
          </w:tcPr>
          <w:p>
            <w:pPr>
              <w:pStyle w:val="37"/>
              <w:shd w:val="clear"/>
              <w:spacing w:line="360" w:lineRule="auto"/>
              <w:jc w:val="center"/>
              <w:outlineLvl w:val="9"/>
              <w:rPr>
                <w:rFonts w:hint="default" w:hAnsi="宋体" w:cs="宋体"/>
                <w:color w:val="auto"/>
                <w:sz w:val="21"/>
                <w:szCs w:val="21"/>
                <w:highlight w:val="none"/>
                <w:lang w:val="en-US" w:eastAsia="zh-CN"/>
              </w:rPr>
            </w:pPr>
            <w:r>
              <w:rPr>
                <w:rFonts w:hint="eastAsia" w:hAnsi="宋体" w:cs="宋体"/>
                <w:b/>
                <w:bCs/>
                <w:color w:val="auto"/>
                <w:sz w:val="21"/>
                <w:szCs w:val="21"/>
                <w:highlight w:val="none"/>
                <w:lang w:val="en-US" w:eastAsia="zh-CN"/>
              </w:rPr>
              <w:t>商品供货组合方案二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505"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商品名称</w:t>
            </w:r>
          </w:p>
        </w:tc>
        <w:tc>
          <w:tcPr>
            <w:tcW w:w="263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品牌及规格</w:t>
            </w:r>
          </w:p>
        </w:tc>
        <w:tc>
          <w:tcPr>
            <w:tcW w:w="678"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单位</w:t>
            </w:r>
          </w:p>
        </w:tc>
        <w:tc>
          <w:tcPr>
            <w:tcW w:w="767"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66"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851"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009" w:type="dxa"/>
            <w:tcBorders>
              <w:top w:val="single" w:color="auto" w:sz="4" w:space="0"/>
              <w:left w:val="single" w:color="auto" w:sz="4" w:space="0"/>
              <w:bottom w:val="single" w:color="auto" w:sz="4" w:space="0"/>
              <w:right w:val="sing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彩图</w:t>
            </w:r>
          </w:p>
        </w:tc>
        <w:tc>
          <w:tcPr>
            <w:tcW w:w="1009" w:type="dxa"/>
            <w:tcBorders>
              <w:top w:val="single" w:color="auto" w:sz="4" w:space="0"/>
              <w:left w:val="single" w:color="auto" w:sz="4" w:space="0"/>
              <w:bottom w:val="single" w:color="auto" w:sz="4" w:space="0"/>
              <w:right w:val="double" w:color="auto" w:sz="4" w:space="0"/>
            </w:tcBorders>
            <w:vAlign w:val="center"/>
          </w:tcPr>
          <w:p>
            <w:pPr>
              <w:pStyle w:val="37"/>
              <w:shd w:val="clear"/>
              <w:spacing w:line="360" w:lineRule="auto"/>
              <w:jc w:val="center"/>
              <w:outlineLvl w:val="9"/>
              <w:rPr>
                <w:rFonts w:hint="eastAsia" w:hAnsi="宋体" w:cs="宋体"/>
                <w:color w:val="auto"/>
                <w:sz w:val="21"/>
                <w:szCs w:val="21"/>
                <w:highlight w:val="none"/>
                <w:lang w:val="en-US" w:eastAsia="zh-CN"/>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top w:val="single" w:color="auto" w:sz="4" w:space="0"/>
              <w:left w:val="doub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p>
        </w:tc>
        <w:tc>
          <w:tcPr>
            <w:tcW w:w="1505"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263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678"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767"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851"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ascii="宋体" w:hAnsi="宋体" w:eastAsia="宋体" w:cs="宋体"/>
                <w:color w:val="auto"/>
                <w:sz w:val="21"/>
                <w:szCs w:val="21"/>
                <w:highlight w:val="none"/>
              </w:rPr>
            </w:pPr>
          </w:p>
        </w:tc>
        <w:tc>
          <w:tcPr>
            <w:tcW w:w="1009" w:type="dxa"/>
            <w:tcBorders>
              <w:top w:val="single" w:color="auto" w:sz="4" w:space="0"/>
              <w:left w:val="single" w:color="auto" w:sz="4" w:space="0"/>
              <w:bottom w:val="single" w:color="auto" w:sz="4" w:space="0"/>
              <w:right w:val="sing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c>
          <w:tcPr>
            <w:tcW w:w="1009" w:type="dxa"/>
            <w:tcBorders>
              <w:top w:val="single" w:color="auto" w:sz="4" w:space="0"/>
              <w:left w:val="single" w:color="auto" w:sz="4" w:space="0"/>
              <w:bottom w:val="single" w:color="auto" w:sz="4" w:space="0"/>
              <w:right w:val="double" w:color="auto" w:sz="4" w:space="0"/>
            </w:tcBorders>
            <w:vAlign w:val="top"/>
          </w:tcPr>
          <w:p>
            <w:pPr>
              <w:pStyle w:val="37"/>
              <w:shd w:val="clear"/>
              <w:spacing w:line="360" w:lineRule="auto"/>
              <w:jc w:val="center"/>
              <w:outlineLvl w:val="9"/>
              <w:rPr>
                <w:rFonts w:hint="eastAsia" w:hAnsi="宋体" w:cs="宋体"/>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9" w:type="dxa"/>
            <w:gridSpan w:val="4"/>
            <w:tcBorders>
              <w:top w:val="single" w:color="auto" w:sz="4" w:space="0"/>
              <w:left w:val="doub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方案二合计</w:t>
            </w:r>
          </w:p>
        </w:tc>
        <w:tc>
          <w:tcPr>
            <w:tcW w:w="767"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866"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851"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1009" w:type="dxa"/>
            <w:tcBorders>
              <w:top w:val="single" w:color="auto" w:sz="4" w:space="0"/>
              <w:left w:val="single" w:color="auto" w:sz="4" w:space="0"/>
              <w:bottom w:val="double" w:color="auto" w:sz="4" w:space="0"/>
              <w:right w:val="sing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1009" w:type="dxa"/>
            <w:tcBorders>
              <w:top w:val="single" w:color="auto" w:sz="4" w:space="0"/>
              <w:left w:val="single" w:color="auto" w:sz="4" w:space="0"/>
              <w:bottom w:val="double" w:color="auto" w:sz="4" w:space="0"/>
              <w:right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31" w:type="dxa"/>
            <w:gridSpan w:val="9"/>
            <w:tcBorders>
              <w:top w:val="double" w:color="auto" w:sz="4" w:space="0"/>
              <w:left w:val="double" w:color="auto" w:sz="4" w:space="0"/>
              <w:right w:val="double" w:color="auto" w:sz="4" w:space="0"/>
            </w:tcBorders>
            <w:vAlign w:val="center"/>
          </w:tcPr>
          <w:p>
            <w:pPr>
              <w:pStyle w:val="37"/>
              <w:shd w:val="clear"/>
              <w:spacing w:line="360" w:lineRule="auto"/>
              <w:jc w:val="center"/>
              <w:outlineLvl w:val="9"/>
              <w:rPr>
                <w:rFonts w:hint="default" w:hAnsi="宋体" w:cs="宋体"/>
                <w:color w:val="auto"/>
                <w:sz w:val="21"/>
                <w:szCs w:val="21"/>
                <w:highlight w:val="none"/>
                <w:lang w:val="en-US" w:eastAsia="zh-CN"/>
              </w:rPr>
            </w:pPr>
            <w:r>
              <w:rPr>
                <w:rFonts w:hint="eastAsia" w:hAnsi="宋体" w:cs="宋体"/>
                <w:b/>
                <w:bCs/>
                <w:color w:val="auto"/>
                <w:sz w:val="21"/>
                <w:szCs w:val="21"/>
                <w:highlight w:val="none"/>
                <w:lang w:val="en-US" w:eastAsia="zh-CN"/>
              </w:rPr>
              <w:t>商品供货组合方案三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1505"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商品名称</w:t>
            </w:r>
          </w:p>
        </w:tc>
        <w:tc>
          <w:tcPr>
            <w:tcW w:w="2637"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品牌及规格</w:t>
            </w:r>
          </w:p>
        </w:tc>
        <w:tc>
          <w:tcPr>
            <w:tcW w:w="678"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单位</w:t>
            </w:r>
          </w:p>
        </w:tc>
        <w:tc>
          <w:tcPr>
            <w:tcW w:w="767"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数量</w:t>
            </w:r>
          </w:p>
        </w:tc>
        <w:tc>
          <w:tcPr>
            <w:tcW w:w="866" w:type="dxa"/>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单价</w:t>
            </w:r>
          </w:p>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851" w:type="dxa"/>
            <w:vAlign w:val="center"/>
          </w:tcPr>
          <w:p>
            <w:pPr>
              <w:pStyle w:val="37"/>
              <w:shd w:val="clea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总价</w:t>
            </w:r>
          </w:p>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tc>
        <w:tc>
          <w:tcPr>
            <w:tcW w:w="1009" w:type="dxa"/>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彩图</w:t>
            </w:r>
          </w:p>
        </w:tc>
        <w:tc>
          <w:tcPr>
            <w:tcW w:w="1009" w:type="dxa"/>
            <w:tcBorders>
              <w:right w:val="double" w:color="auto" w:sz="4" w:space="0"/>
            </w:tcBorders>
            <w:vAlign w:val="center"/>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09" w:type="dxa"/>
            <w:tcBorders>
              <w:lef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p>
        </w:tc>
        <w:tc>
          <w:tcPr>
            <w:tcW w:w="1505"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263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678"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767"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66"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851"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c>
          <w:tcPr>
            <w:tcW w:w="1009" w:type="dxa"/>
            <w:tcBorders>
              <w:right w:val="double" w:color="auto" w:sz="4" w:space="0"/>
            </w:tcBorders>
            <w:vAlign w:val="top"/>
          </w:tcPr>
          <w:p>
            <w:pPr>
              <w:pStyle w:val="37"/>
              <w:shd w:val="clear"/>
              <w:spacing w:line="360" w:lineRule="auto"/>
              <w:jc w:val="center"/>
              <w:outlineLvl w:val="9"/>
              <w:rPr>
                <w:rFonts w:hint="eastAsia" w:ascii="宋体" w:hAnsi="宋体" w:eastAsia="宋体" w:cs="宋体"/>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529" w:type="dxa"/>
            <w:gridSpan w:val="4"/>
            <w:tcBorders>
              <w:left w:val="double" w:color="auto" w:sz="4" w:space="0"/>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方案三合计</w:t>
            </w:r>
          </w:p>
        </w:tc>
        <w:tc>
          <w:tcPr>
            <w:tcW w:w="767"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866"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851"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p>
        </w:tc>
        <w:tc>
          <w:tcPr>
            <w:tcW w:w="1009" w:type="dxa"/>
            <w:tcBorders>
              <w:bottom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c>
          <w:tcPr>
            <w:tcW w:w="1009" w:type="dxa"/>
            <w:tcBorders>
              <w:bottom w:val="double" w:color="auto" w:sz="4" w:space="0"/>
              <w:right w:val="double" w:color="auto" w:sz="4" w:space="0"/>
            </w:tcBorders>
            <w:vAlign w:val="center"/>
          </w:tcPr>
          <w:p>
            <w:pPr>
              <w:pStyle w:val="37"/>
              <w:shd w:val="clear"/>
              <w:spacing w:line="360" w:lineRule="auto"/>
              <w:jc w:val="center"/>
              <w:outlineLvl w:val="9"/>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w:t>
            </w:r>
          </w:p>
        </w:tc>
      </w:tr>
    </w:tbl>
    <w:p>
      <w:pPr>
        <w:spacing w:line="360" w:lineRule="auto"/>
        <w:ind w:firstLine="480"/>
        <w:outlineLvl w:val="9"/>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rPr>
        <w:t>注：</w:t>
      </w:r>
      <w:r>
        <w:rPr>
          <w:rFonts w:hint="eastAsia" w:ascii="宋体" w:hAnsi="宋体" w:cs="宋体"/>
          <w:b/>
          <w:bCs/>
          <w:color w:val="auto"/>
          <w:szCs w:val="21"/>
          <w:highlight w:val="none"/>
          <w:lang w:val="en-US" w:eastAsia="zh-CN"/>
        </w:rPr>
        <w:t>1、此表中各</w:t>
      </w:r>
      <w:r>
        <w:rPr>
          <w:rFonts w:hint="eastAsia" w:hAnsi="宋体" w:cs="宋体"/>
          <w:b/>
          <w:bCs/>
          <w:color w:val="auto"/>
          <w:sz w:val="21"/>
          <w:szCs w:val="21"/>
          <w:highlight w:val="none"/>
          <w:lang w:val="en-US" w:eastAsia="zh-CN"/>
        </w:rPr>
        <w:t>商品供货组合方案的</w:t>
      </w:r>
      <w:r>
        <w:rPr>
          <w:rFonts w:hint="eastAsia" w:ascii="宋体" w:hAnsi="宋体" w:cs="宋体"/>
          <w:b/>
          <w:bCs/>
          <w:color w:val="auto"/>
          <w:szCs w:val="21"/>
          <w:highlight w:val="none"/>
          <w:lang w:val="en-US" w:eastAsia="zh-CN"/>
        </w:rPr>
        <w:t>实际供货组合总价金额均应和《开标一览表》中的金额一致，否则视为无效响应。</w:t>
      </w:r>
    </w:p>
    <w:p>
      <w:pPr>
        <w:spacing w:line="360" w:lineRule="auto"/>
        <w:ind w:firstLine="480"/>
        <w:outlineLvl w:val="9"/>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可根据自身需要自行调整表格样式</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但必须体现上表中已列要素，否则视为无效响应</w:t>
      </w:r>
      <w:r>
        <w:rPr>
          <w:rFonts w:hint="eastAsia" w:ascii="宋体" w:hAnsi="宋体" w:cs="宋体"/>
          <w:b/>
          <w:bCs/>
          <w:color w:val="auto"/>
          <w:szCs w:val="21"/>
          <w:highlight w:val="none"/>
        </w:rPr>
        <w:t>。</w:t>
      </w:r>
    </w:p>
    <w:p>
      <w:pPr>
        <w:spacing w:line="360" w:lineRule="auto"/>
        <w:ind w:firstLine="480"/>
        <w:outlineLvl w:val="9"/>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报价时视为对</w:t>
      </w:r>
      <w:r>
        <w:rPr>
          <w:rFonts w:hint="eastAsia" w:ascii="宋体" w:hAnsi="宋体" w:cs="宋体"/>
          <w:b/>
          <w:bCs/>
          <w:color w:val="auto"/>
          <w:szCs w:val="21"/>
          <w:highlight w:val="none"/>
          <w:lang w:eastAsia="zh-CN"/>
        </w:rPr>
        <w:t>谈判文件</w:t>
      </w:r>
      <w:r>
        <w:rPr>
          <w:rFonts w:hint="eastAsia" w:ascii="宋体" w:hAnsi="宋体" w:cs="宋体"/>
          <w:b/>
          <w:bCs/>
          <w:color w:val="auto"/>
          <w:szCs w:val="21"/>
          <w:highlight w:val="none"/>
        </w:rPr>
        <w:t>的完全响应，全面理解本</w:t>
      </w:r>
      <w:r>
        <w:rPr>
          <w:rFonts w:hint="eastAsia" w:ascii="宋体" w:hAnsi="宋体" w:cs="宋体"/>
          <w:b/>
          <w:bCs/>
          <w:color w:val="auto"/>
          <w:szCs w:val="21"/>
          <w:highlight w:val="none"/>
          <w:lang w:eastAsia="zh-CN"/>
        </w:rPr>
        <w:t>谈判文件</w:t>
      </w:r>
      <w:r>
        <w:rPr>
          <w:rFonts w:hint="eastAsia" w:ascii="宋体" w:hAnsi="宋体" w:cs="宋体"/>
          <w:b/>
          <w:bCs/>
          <w:color w:val="auto"/>
          <w:szCs w:val="21"/>
          <w:highlight w:val="none"/>
        </w:rPr>
        <w:t>的内容和要求，确定</w:t>
      </w:r>
      <w:r>
        <w:rPr>
          <w:rFonts w:hint="eastAsia" w:ascii="宋体" w:hAnsi="宋体" w:cs="宋体"/>
          <w:b/>
          <w:bCs/>
          <w:color w:val="auto"/>
          <w:szCs w:val="21"/>
          <w:highlight w:val="none"/>
          <w:lang w:eastAsia="zh-CN"/>
        </w:rPr>
        <w:t>供应商</w:t>
      </w:r>
      <w:r>
        <w:rPr>
          <w:rFonts w:hint="eastAsia" w:ascii="宋体" w:hAnsi="宋体" w:cs="宋体"/>
          <w:b/>
          <w:bCs/>
          <w:color w:val="auto"/>
          <w:szCs w:val="21"/>
          <w:highlight w:val="none"/>
        </w:rPr>
        <w:t>为完成本项目所需的全部费用。</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adjustRightInd w:val="0"/>
        <w:snapToGrid w:val="0"/>
        <w:spacing w:beforeLines="100" w:afterLines="100"/>
        <w:jc w:val="left"/>
        <w:outlineLvl w:val="9"/>
        <w:rPr>
          <w:rFonts w:ascii="宋体" w:hAnsi="宋体" w:cs="宋体"/>
          <w:b/>
          <w:i/>
          <w:color w:val="auto"/>
          <w:sz w:val="24"/>
          <w:highlight w:val="none"/>
        </w:rPr>
      </w:pPr>
    </w:p>
    <w:p>
      <w:pPr>
        <w:adjustRightInd w:val="0"/>
        <w:snapToGrid w:val="0"/>
        <w:spacing w:beforeLines="100" w:afterLines="100"/>
        <w:jc w:val="left"/>
        <w:outlineLvl w:val="9"/>
        <w:rPr>
          <w:rFonts w:ascii="宋体" w:hAnsi="宋体" w:cs="宋体"/>
          <w:b/>
          <w:i/>
          <w:color w:val="auto"/>
          <w:sz w:val="24"/>
          <w:highlight w:val="none"/>
        </w:rPr>
      </w:pPr>
    </w:p>
    <w:p>
      <w:pPr>
        <w:adjustRightInd w:val="0"/>
        <w:snapToGrid w:val="0"/>
        <w:spacing w:beforeLines="100" w:afterLines="100"/>
        <w:jc w:val="left"/>
        <w:outlineLvl w:val="9"/>
        <w:rPr>
          <w:rFonts w:ascii="宋体" w:hAnsi="宋体" w:cs="宋体"/>
          <w:b/>
          <w:i/>
          <w:color w:val="auto"/>
          <w:sz w:val="24"/>
          <w:highlight w:val="none"/>
        </w:rPr>
      </w:pPr>
    </w:p>
    <w:p>
      <w:pPr>
        <w:adjustRightInd w:val="0"/>
        <w:snapToGrid w:val="0"/>
        <w:spacing w:beforeLines="100" w:afterLines="100"/>
        <w:jc w:val="left"/>
        <w:outlineLvl w:val="9"/>
        <w:rPr>
          <w:rFonts w:ascii="宋体" w:hAnsi="宋体" w:cs="宋体"/>
          <w:b/>
          <w:i/>
          <w:color w:val="auto"/>
          <w:sz w:val="24"/>
          <w:highlight w:val="none"/>
        </w:rPr>
      </w:pPr>
    </w:p>
    <w:p>
      <w:pPr>
        <w:spacing w:line="360" w:lineRule="auto"/>
        <w:outlineLvl w:val="9"/>
        <w:rPr>
          <w:rFonts w:ascii="宋体" w:hAnsi="宋体" w:cs="宋体"/>
          <w:color w:val="auto"/>
          <w:sz w:val="24"/>
          <w:szCs w:val="20"/>
          <w:highlight w:val="none"/>
        </w:rPr>
      </w:pPr>
    </w:p>
    <w:p>
      <w:pPr>
        <w:spacing w:line="360" w:lineRule="auto"/>
        <w:outlineLvl w:val="9"/>
        <w:rPr>
          <w:rFonts w:ascii="宋体" w:hAnsi="宋体" w:cs="宋体"/>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spacing w:line="360" w:lineRule="auto"/>
        <w:outlineLvl w:val="9"/>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rFonts w:ascii="宋体" w:hAnsi="宋体" w:cs="宋体"/>
          <w:b/>
          <w:bCs/>
          <w:color w:val="auto"/>
          <w:sz w:val="24"/>
          <w:szCs w:val="20"/>
          <w:highlight w:val="none"/>
        </w:rPr>
      </w:pPr>
    </w:p>
    <w:p>
      <w:pPr>
        <w:rPr>
          <w:rFonts w:ascii="宋体" w:hAnsi="宋体" w:cs="宋体"/>
          <w:b/>
          <w:bCs/>
          <w:color w:val="auto"/>
          <w:sz w:val="24"/>
          <w:szCs w:val="20"/>
          <w:highlight w:val="none"/>
        </w:rPr>
      </w:pPr>
    </w:p>
    <w:p>
      <w:pPr>
        <w:pStyle w:val="2"/>
        <w:rPr>
          <w:color w:val="auto"/>
          <w:highlight w:val="none"/>
        </w:rPr>
      </w:pPr>
    </w:p>
    <w:p>
      <w:pPr>
        <w:spacing w:line="360" w:lineRule="auto"/>
        <w:outlineLvl w:val="9"/>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10</w:t>
      </w:r>
      <w:r>
        <w:rPr>
          <w:rFonts w:hint="eastAsia" w:ascii="宋体" w:hAnsi="宋体" w:cs="宋体"/>
          <w:b/>
          <w:bCs/>
          <w:color w:val="auto"/>
          <w:sz w:val="24"/>
          <w:szCs w:val="20"/>
          <w:highlight w:val="none"/>
        </w:rPr>
        <w:t xml:space="preserve">  合同条款偏离表</w:t>
      </w:r>
    </w:p>
    <w:p>
      <w:pPr>
        <w:spacing w:line="360" w:lineRule="auto"/>
        <w:outlineLvl w:val="9"/>
        <w:rPr>
          <w:rFonts w:ascii="宋体" w:hAnsi="宋体" w:cs="宋体"/>
          <w:color w:val="auto"/>
          <w:sz w:val="24"/>
          <w:szCs w:val="20"/>
          <w:highlight w:val="none"/>
        </w:rPr>
      </w:pPr>
    </w:p>
    <w:p>
      <w:pPr>
        <w:tabs>
          <w:tab w:val="left" w:pos="2775"/>
          <w:tab w:val="center" w:pos="4153"/>
        </w:tabs>
        <w:autoSpaceDE w:val="0"/>
        <w:autoSpaceDN w:val="0"/>
        <w:adjustRightInd w:val="0"/>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合同条款偏离表</w:t>
      </w:r>
    </w:p>
    <w:p>
      <w:pPr>
        <w:spacing w:line="360" w:lineRule="auto"/>
        <w:outlineLvl w:val="9"/>
        <w:rPr>
          <w:rFonts w:ascii="宋体" w:hAnsi="宋体" w:cs="宋体"/>
          <w:color w:val="auto"/>
          <w:sz w:val="24"/>
          <w:szCs w:val="20"/>
          <w:highlight w:val="none"/>
        </w:rPr>
      </w:pPr>
    </w:p>
    <w:p>
      <w:pPr>
        <w:tabs>
          <w:tab w:val="left" w:pos="1800"/>
          <w:tab w:val="left" w:pos="5580"/>
        </w:tabs>
        <w:spacing w:line="360" w:lineRule="auto"/>
        <w:ind w:firstLine="315" w:firstLineChars="150"/>
        <w:jc w:val="left"/>
        <w:outlineLvl w:val="9"/>
        <w:rPr>
          <w:rFonts w:ascii="宋体" w:hAnsi="宋体" w:cs="宋体"/>
          <w:color w:val="auto"/>
          <w:szCs w:val="21"/>
          <w:highlight w:val="none"/>
        </w:rPr>
      </w:pPr>
      <w:r>
        <w:rPr>
          <w:rFonts w:hint="eastAsia" w:ascii="宋体" w:hAnsi="宋体" w:cs="宋体"/>
          <w:color w:val="auto"/>
          <w:szCs w:val="21"/>
          <w:highlight w:val="none"/>
        </w:rPr>
        <w:t>项目编号/包号：_____________________     项目名称：_____________</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1207"/>
        <w:gridCol w:w="1784"/>
        <w:gridCol w:w="1785"/>
        <w:gridCol w:w="2202"/>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outlineLvl w:val="9"/>
              <w:rPr>
                <w:rFonts w:ascii="宋体" w:hAnsi="宋体" w:cs="宋体"/>
                <w:b/>
                <w:color w:val="auto"/>
                <w:szCs w:val="21"/>
                <w:highlight w:val="none"/>
              </w:rPr>
            </w:pPr>
            <w:r>
              <w:rPr>
                <w:rFonts w:hint="eastAsia" w:ascii="宋体" w:hAnsi="宋体" w:cs="宋体"/>
                <w:b/>
                <w:color w:val="auto"/>
                <w:szCs w:val="21"/>
                <w:highlight w:val="none"/>
              </w:rPr>
              <w:t>对本项目合同条款的偏离情况（请进行勾选）：</w:t>
            </w:r>
          </w:p>
          <w:p>
            <w:pPr>
              <w:adjustRightInd w:val="0"/>
              <w:snapToGrid w:val="0"/>
              <w:jc w:val="left"/>
              <w:outlineLvl w:val="9"/>
              <w:rPr>
                <w:rFonts w:ascii="宋体" w:hAnsi="宋体" w:cs="宋体"/>
                <w:b/>
                <w:color w:val="auto"/>
                <w:szCs w:val="21"/>
                <w:highlight w:val="none"/>
              </w:rPr>
            </w:pPr>
            <w:r>
              <w:rPr>
                <w:rFonts w:hint="eastAsia" w:ascii="宋体" w:hAnsi="宋体" w:cs="宋体"/>
                <w:b/>
                <w:color w:val="auto"/>
                <w:szCs w:val="21"/>
                <w:highlight w:val="none"/>
              </w:rPr>
              <w:t>□无偏离</w:t>
            </w:r>
            <w:r>
              <w:rPr>
                <w:rFonts w:hint="eastAsia" w:ascii="宋体" w:hAnsi="宋体" w:cs="宋体"/>
                <w:color w:val="auto"/>
                <w:szCs w:val="21"/>
                <w:highlight w:val="none"/>
              </w:rPr>
              <w:t>（如无偏离，仅勾选无偏离即可）</w:t>
            </w:r>
          </w:p>
          <w:p>
            <w:pPr>
              <w:adjustRightInd w:val="0"/>
              <w:snapToGrid w:val="0"/>
              <w:jc w:val="left"/>
              <w:outlineLvl w:val="9"/>
              <w:rPr>
                <w:rFonts w:ascii="宋体" w:hAnsi="宋体" w:cs="宋体"/>
                <w:color w:val="auto"/>
                <w:szCs w:val="21"/>
                <w:highlight w:val="none"/>
              </w:rPr>
            </w:pPr>
            <w:r>
              <w:rPr>
                <w:rFonts w:hint="eastAsia" w:ascii="宋体" w:hAnsi="宋体" w:cs="宋体"/>
                <w:b/>
                <w:color w:val="auto"/>
                <w:szCs w:val="21"/>
                <w:highlight w:val="none"/>
              </w:rPr>
              <w:t>□有偏离</w:t>
            </w:r>
            <w:r>
              <w:rPr>
                <w:rFonts w:hint="eastAsia" w:ascii="宋体" w:hAnsi="宋体" w:cs="宋体"/>
                <w:color w:val="auto"/>
                <w:szCs w:val="21"/>
                <w:highlight w:val="none"/>
              </w:rPr>
              <w:t>（如有偏离，则应在本表中对偏离项逐一列明）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序号</w:t>
            </w:r>
          </w:p>
        </w:tc>
        <w:tc>
          <w:tcPr>
            <w:tcW w:w="1301"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条目号（页码）</w:t>
            </w:r>
          </w:p>
        </w:tc>
        <w:tc>
          <w:tcPr>
            <w:tcW w:w="2007"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w:t>
            </w:r>
          </w:p>
        </w:tc>
        <w:tc>
          <w:tcPr>
            <w:tcW w:w="2008"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响应文件</w:t>
            </w:r>
            <w:r>
              <w:rPr>
                <w:rFonts w:hint="eastAsia" w:ascii="宋体" w:hAnsi="宋体" w:cs="宋体"/>
                <w:color w:val="auto"/>
                <w:szCs w:val="21"/>
                <w:highlight w:val="none"/>
              </w:rPr>
              <w:t>内容</w:t>
            </w:r>
          </w:p>
        </w:tc>
        <w:tc>
          <w:tcPr>
            <w:tcW w:w="2458" w:type="dxa"/>
            <w:vAlign w:val="center"/>
          </w:tcPr>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偏离情况</w:t>
            </w:r>
          </w:p>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（据实填写</w:t>
            </w:r>
            <w:r>
              <w:rPr>
                <w:rFonts w:hint="eastAsia" w:ascii="宋体" w:hAnsi="宋体" w:cs="宋体"/>
                <w:color w:val="auto"/>
                <w:szCs w:val="21"/>
                <w:highlight w:val="none"/>
              </w:rPr>
              <w:t>）</w:t>
            </w:r>
          </w:p>
        </w:tc>
        <w:tc>
          <w:tcPr>
            <w:tcW w:w="788"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w:t>
            </w:r>
          </w:p>
        </w:tc>
        <w:tc>
          <w:tcPr>
            <w:tcW w:w="1301" w:type="dxa"/>
            <w:vAlign w:val="center"/>
          </w:tcPr>
          <w:p>
            <w:pPr>
              <w:adjustRightInd w:val="0"/>
              <w:snapToGrid w:val="0"/>
              <w:jc w:val="center"/>
              <w:outlineLvl w:val="9"/>
              <w:rPr>
                <w:rFonts w:ascii="宋体" w:hAnsi="宋体" w:cs="宋体"/>
                <w:color w:val="auto"/>
                <w:szCs w:val="21"/>
                <w:highlight w:val="none"/>
              </w:rPr>
            </w:pPr>
          </w:p>
        </w:tc>
        <w:tc>
          <w:tcPr>
            <w:tcW w:w="2007" w:type="dxa"/>
            <w:vAlign w:val="center"/>
          </w:tcPr>
          <w:p>
            <w:pPr>
              <w:adjustRightInd w:val="0"/>
              <w:snapToGrid w:val="0"/>
              <w:jc w:val="center"/>
              <w:outlineLvl w:val="9"/>
              <w:rPr>
                <w:rFonts w:ascii="宋体" w:hAnsi="宋体" w:cs="宋体"/>
                <w:color w:val="auto"/>
                <w:szCs w:val="21"/>
                <w:highlight w:val="none"/>
              </w:rPr>
            </w:pPr>
          </w:p>
        </w:tc>
        <w:tc>
          <w:tcPr>
            <w:tcW w:w="2008" w:type="dxa"/>
            <w:vAlign w:val="center"/>
          </w:tcPr>
          <w:p>
            <w:pPr>
              <w:adjustRightInd w:val="0"/>
              <w:snapToGrid w:val="0"/>
              <w:jc w:val="center"/>
              <w:outlineLvl w:val="9"/>
              <w:rPr>
                <w:rFonts w:ascii="宋体" w:hAnsi="宋体" w:cs="宋体"/>
                <w:color w:val="auto"/>
                <w:szCs w:val="21"/>
                <w:highlight w:val="none"/>
              </w:rPr>
            </w:pPr>
          </w:p>
        </w:tc>
        <w:tc>
          <w:tcPr>
            <w:tcW w:w="2458" w:type="dxa"/>
            <w:vAlign w:val="center"/>
          </w:tcPr>
          <w:p>
            <w:pPr>
              <w:adjustRightInd w:val="0"/>
              <w:snapToGrid w:val="0"/>
              <w:jc w:val="center"/>
              <w:outlineLvl w:val="9"/>
              <w:rPr>
                <w:rFonts w:ascii="宋体" w:hAnsi="宋体" w:cs="宋体"/>
                <w:color w:val="auto"/>
                <w:szCs w:val="21"/>
                <w:highlight w:val="none"/>
              </w:rPr>
            </w:pPr>
          </w:p>
        </w:tc>
        <w:tc>
          <w:tcPr>
            <w:tcW w:w="788" w:type="dxa"/>
            <w:vAlign w:val="center"/>
          </w:tcPr>
          <w:p>
            <w:pPr>
              <w:adjustRightInd w:val="0"/>
              <w:snapToGrid w:val="0"/>
              <w:jc w:val="center"/>
              <w:outlineLvl w:val="9"/>
              <w:rPr>
                <w:rFonts w:ascii="宋体" w:hAnsi="宋体" w:cs="宋体"/>
                <w:color w:val="auto"/>
                <w:szCs w:val="21"/>
                <w:highlight w:val="none"/>
              </w:rPr>
            </w:pPr>
          </w:p>
        </w:tc>
      </w:tr>
    </w:tbl>
    <w:p>
      <w:pPr>
        <w:tabs>
          <w:tab w:val="left" w:pos="1800"/>
          <w:tab w:val="left" w:pos="5580"/>
        </w:tabs>
        <w:jc w:val="left"/>
        <w:outlineLvl w:val="9"/>
        <w:rPr>
          <w:rFonts w:ascii="宋体" w:hAnsi="宋体" w:cs="宋体"/>
          <w:color w:val="auto"/>
          <w:szCs w:val="21"/>
          <w:highlight w:val="none"/>
        </w:rPr>
      </w:pP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注：</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1.对合同条款中的所有要求，除本表所列明的所有偏离外，均视作</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已对之理解和响应。</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 “偏离情况”列应据实填写“正偏离”或“负偏离”。</w:t>
      </w:r>
    </w:p>
    <w:p>
      <w:pPr>
        <w:spacing w:line="360" w:lineRule="auto"/>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    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spacing w:line="360" w:lineRule="auto"/>
        <w:outlineLvl w:val="9"/>
        <w:rPr>
          <w:rFonts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b/>
          <w:bCs/>
          <w:color w:val="auto"/>
          <w:sz w:val="24"/>
          <w:szCs w:val="20"/>
          <w:highlight w:val="none"/>
          <w:lang w:val="en-US" w:eastAsia="zh-CN"/>
        </w:rPr>
        <w:t>11</w:t>
      </w:r>
      <w:r>
        <w:rPr>
          <w:rFonts w:hint="eastAsia" w:ascii="宋体" w:hAnsi="宋体" w:cs="宋体"/>
          <w:b/>
          <w:bCs/>
          <w:color w:val="auto"/>
          <w:sz w:val="24"/>
          <w:szCs w:val="20"/>
          <w:highlight w:val="none"/>
        </w:rPr>
        <w:t xml:space="preserve">  采购需求偏离表</w:t>
      </w:r>
    </w:p>
    <w:p>
      <w:pPr>
        <w:autoSpaceDE w:val="0"/>
        <w:autoSpaceDN w:val="0"/>
        <w:adjustRightInd w:val="0"/>
        <w:spacing w:line="360" w:lineRule="auto"/>
        <w:jc w:val="center"/>
        <w:outlineLvl w:val="9"/>
        <w:rPr>
          <w:rFonts w:ascii="宋体" w:hAnsi="宋体" w:cs="宋体"/>
          <w:b/>
          <w:color w:val="auto"/>
          <w:sz w:val="36"/>
          <w:szCs w:val="36"/>
          <w:highlight w:val="none"/>
        </w:rPr>
      </w:pPr>
    </w:p>
    <w:p>
      <w:pPr>
        <w:autoSpaceDE w:val="0"/>
        <w:autoSpaceDN w:val="0"/>
        <w:adjustRightInd w:val="0"/>
        <w:spacing w:line="360" w:lineRule="auto"/>
        <w:jc w:val="center"/>
        <w:outlineLvl w:val="9"/>
        <w:rPr>
          <w:rFonts w:ascii="宋体" w:hAnsi="宋体" w:cs="宋体"/>
          <w:b/>
          <w:color w:val="auto"/>
          <w:sz w:val="28"/>
          <w:szCs w:val="28"/>
          <w:highlight w:val="none"/>
        </w:rPr>
      </w:pPr>
      <w:r>
        <w:rPr>
          <w:rFonts w:hint="eastAsia" w:ascii="宋体" w:hAnsi="宋体" w:cs="宋体"/>
          <w:b/>
          <w:color w:val="auto"/>
          <w:sz w:val="28"/>
          <w:szCs w:val="28"/>
          <w:highlight w:val="none"/>
        </w:rPr>
        <w:t>采购需求偏离表</w:t>
      </w:r>
    </w:p>
    <w:p>
      <w:pPr>
        <w:tabs>
          <w:tab w:val="left" w:pos="1800"/>
          <w:tab w:val="left" w:pos="5580"/>
        </w:tabs>
        <w:spacing w:line="360" w:lineRule="auto"/>
        <w:ind w:firstLine="315" w:firstLineChars="150"/>
        <w:jc w:val="left"/>
        <w:outlineLvl w:val="9"/>
        <w:rPr>
          <w:rFonts w:ascii="宋体" w:hAnsi="宋体" w:cs="宋体"/>
          <w:color w:val="auto"/>
          <w:szCs w:val="21"/>
          <w:highlight w:val="none"/>
          <w:u w:val="single"/>
        </w:rPr>
      </w:pPr>
      <w:r>
        <w:rPr>
          <w:rFonts w:hint="eastAsia" w:ascii="宋体" w:hAnsi="宋体" w:cs="宋体"/>
          <w:color w:val="auto"/>
          <w:szCs w:val="21"/>
          <w:highlight w:val="none"/>
        </w:rPr>
        <w:t>项目编号：_____________________     项目名称：____________</w:t>
      </w:r>
    </w:p>
    <w:tbl>
      <w:tblPr>
        <w:tblStyle w:val="17"/>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序号</w:t>
            </w:r>
          </w:p>
        </w:tc>
        <w:tc>
          <w:tcPr>
            <w:tcW w:w="1482"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条目号(页码)</w:t>
            </w:r>
          </w:p>
        </w:tc>
        <w:tc>
          <w:tcPr>
            <w:tcW w:w="2384"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要求</w:t>
            </w:r>
          </w:p>
        </w:tc>
        <w:tc>
          <w:tcPr>
            <w:tcW w:w="2126"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响应内容</w:t>
            </w:r>
          </w:p>
        </w:tc>
        <w:tc>
          <w:tcPr>
            <w:tcW w:w="1875" w:type="dxa"/>
            <w:vAlign w:val="center"/>
          </w:tcPr>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偏离情况</w:t>
            </w:r>
          </w:p>
          <w:p>
            <w:pPr>
              <w:adjustRightInd w:val="0"/>
              <w:snapToGrid w:val="0"/>
              <w:jc w:val="center"/>
              <w:outlineLvl w:val="9"/>
              <w:rPr>
                <w:rFonts w:ascii="宋体" w:hAnsi="宋体" w:cs="宋体"/>
                <w:color w:val="auto"/>
                <w:szCs w:val="21"/>
                <w:highlight w:val="none"/>
              </w:rPr>
            </w:pPr>
            <w:r>
              <w:rPr>
                <w:rFonts w:ascii="宋体" w:hAnsi="宋体" w:cs="宋体"/>
                <w:color w:val="auto"/>
                <w:szCs w:val="21"/>
                <w:highlight w:val="none"/>
              </w:rPr>
              <w:t>（据实填写）</w:t>
            </w:r>
          </w:p>
        </w:tc>
        <w:tc>
          <w:tcPr>
            <w:tcW w:w="1009"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outlineLvl w:val="9"/>
              <w:rPr>
                <w:rFonts w:ascii="宋体" w:hAnsi="宋体" w:cs="宋体"/>
                <w:color w:val="auto"/>
                <w:szCs w:val="21"/>
                <w:highlight w:val="none"/>
              </w:rPr>
            </w:pPr>
            <w:r>
              <w:rPr>
                <w:rFonts w:hint="eastAsia" w:ascii="宋体" w:hAnsi="宋体" w:cs="宋体"/>
                <w:color w:val="auto"/>
                <w:szCs w:val="21"/>
                <w:highlight w:val="none"/>
              </w:rPr>
              <w:t>……</w:t>
            </w:r>
          </w:p>
        </w:tc>
        <w:tc>
          <w:tcPr>
            <w:tcW w:w="1482" w:type="dxa"/>
            <w:vAlign w:val="center"/>
          </w:tcPr>
          <w:p>
            <w:pPr>
              <w:adjustRightInd w:val="0"/>
              <w:snapToGrid w:val="0"/>
              <w:jc w:val="center"/>
              <w:outlineLvl w:val="9"/>
              <w:rPr>
                <w:rFonts w:ascii="宋体" w:hAnsi="宋体" w:cs="宋体"/>
                <w:color w:val="auto"/>
                <w:szCs w:val="21"/>
                <w:highlight w:val="none"/>
              </w:rPr>
            </w:pPr>
          </w:p>
        </w:tc>
        <w:tc>
          <w:tcPr>
            <w:tcW w:w="2384" w:type="dxa"/>
            <w:vAlign w:val="center"/>
          </w:tcPr>
          <w:p>
            <w:pPr>
              <w:adjustRightInd w:val="0"/>
              <w:snapToGrid w:val="0"/>
              <w:jc w:val="center"/>
              <w:outlineLvl w:val="9"/>
              <w:rPr>
                <w:rFonts w:ascii="宋体" w:hAnsi="宋体" w:cs="宋体"/>
                <w:color w:val="auto"/>
                <w:szCs w:val="21"/>
                <w:highlight w:val="none"/>
              </w:rPr>
            </w:pPr>
          </w:p>
        </w:tc>
        <w:tc>
          <w:tcPr>
            <w:tcW w:w="2126" w:type="dxa"/>
            <w:vAlign w:val="center"/>
          </w:tcPr>
          <w:p>
            <w:pPr>
              <w:adjustRightInd w:val="0"/>
              <w:snapToGrid w:val="0"/>
              <w:jc w:val="center"/>
              <w:outlineLvl w:val="9"/>
              <w:rPr>
                <w:rFonts w:ascii="宋体" w:hAnsi="宋体" w:cs="宋体"/>
                <w:color w:val="auto"/>
                <w:szCs w:val="21"/>
                <w:highlight w:val="none"/>
              </w:rPr>
            </w:pPr>
          </w:p>
        </w:tc>
        <w:tc>
          <w:tcPr>
            <w:tcW w:w="1875" w:type="dxa"/>
            <w:vAlign w:val="center"/>
          </w:tcPr>
          <w:p>
            <w:pPr>
              <w:adjustRightInd w:val="0"/>
              <w:snapToGrid w:val="0"/>
              <w:jc w:val="center"/>
              <w:outlineLvl w:val="9"/>
              <w:rPr>
                <w:rFonts w:ascii="宋体" w:hAnsi="宋体" w:cs="宋体"/>
                <w:color w:val="auto"/>
                <w:szCs w:val="21"/>
                <w:highlight w:val="none"/>
              </w:rPr>
            </w:pPr>
          </w:p>
        </w:tc>
        <w:tc>
          <w:tcPr>
            <w:tcW w:w="1009" w:type="dxa"/>
            <w:vAlign w:val="center"/>
          </w:tcPr>
          <w:p>
            <w:pPr>
              <w:adjustRightInd w:val="0"/>
              <w:snapToGrid w:val="0"/>
              <w:jc w:val="center"/>
              <w:outlineLvl w:val="9"/>
              <w:rPr>
                <w:rFonts w:ascii="宋体" w:hAnsi="宋体" w:cs="宋体"/>
                <w:color w:val="auto"/>
                <w:szCs w:val="21"/>
                <w:highlight w:val="none"/>
              </w:rPr>
            </w:pPr>
          </w:p>
        </w:tc>
      </w:tr>
    </w:tbl>
    <w:p>
      <w:pPr>
        <w:tabs>
          <w:tab w:val="left" w:pos="1800"/>
          <w:tab w:val="left" w:pos="5580"/>
        </w:tabs>
        <w:spacing w:line="360" w:lineRule="auto"/>
        <w:ind w:firstLine="315" w:firstLineChars="150"/>
        <w:jc w:val="left"/>
        <w:outlineLvl w:val="9"/>
        <w:rPr>
          <w:rFonts w:ascii="宋体" w:hAnsi="宋体" w:cs="宋体"/>
          <w:color w:val="auto"/>
          <w:szCs w:val="21"/>
          <w:highlight w:val="none"/>
          <w:u w:val="single"/>
        </w:rPr>
      </w:pP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注：</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1. 对</w:t>
      </w:r>
      <w:r>
        <w:rPr>
          <w:rFonts w:hint="eastAsia" w:ascii="宋体" w:hAnsi="宋体" w:cs="宋体"/>
          <w:color w:val="auto"/>
          <w:szCs w:val="21"/>
          <w:highlight w:val="none"/>
          <w:lang w:eastAsia="zh-CN"/>
        </w:rPr>
        <w:t>谈判文件</w:t>
      </w:r>
      <w:r>
        <w:rPr>
          <w:rFonts w:hint="eastAsia" w:ascii="宋体" w:hAnsi="宋体" w:cs="宋体"/>
          <w:color w:val="auto"/>
          <w:szCs w:val="21"/>
          <w:highlight w:val="none"/>
        </w:rPr>
        <w:t>中的所有商务、技术要求，除本表所列明的所有偏离外，均视作</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已对之理解和响应。此表中若无任何文字说明，内容为空白，响应无效</w:t>
      </w:r>
      <w:r>
        <w:rPr>
          <w:rFonts w:hint="eastAsia" w:ascii="宋体" w:hAnsi="宋体" w:cs="宋体"/>
          <w:b/>
          <w:color w:val="auto"/>
          <w:szCs w:val="21"/>
          <w:highlight w:val="none"/>
        </w:rPr>
        <w:t>。</w:t>
      </w:r>
    </w:p>
    <w:p>
      <w:pPr>
        <w:tabs>
          <w:tab w:val="left" w:pos="1800"/>
          <w:tab w:val="left" w:pos="5580"/>
        </w:tabs>
        <w:spacing w:line="360" w:lineRule="auto"/>
        <w:jc w:val="left"/>
        <w:outlineLvl w:val="9"/>
        <w:rPr>
          <w:rFonts w:ascii="宋体" w:hAnsi="宋体" w:cs="宋体"/>
          <w:color w:val="auto"/>
          <w:szCs w:val="21"/>
          <w:highlight w:val="none"/>
        </w:rPr>
      </w:pPr>
      <w:r>
        <w:rPr>
          <w:rFonts w:hint="eastAsia" w:ascii="宋体" w:hAnsi="宋体" w:cs="宋体"/>
          <w:color w:val="auto"/>
          <w:szCs w:val="21"/>
          <w:highlight w:val="none"/>
        </w:rPr>
        <w:t>2.“偏离情况”列应据实填写“正偏离”、“无偏离”或“负偏离”。</w:t>
      </w:r>
    </w:p>
    <w:p>
      <w:pPr>
        <w:tabs>
          <w:tab w:val="left" w:pos="1800"/>
          <w:tab w:val="left" w:pos="5580"/>
        </w:tabs>
        <w:jc w:val="left"/>
        <w:outlineLvl w:val="9"/>
        <w:rPr>
          <w:rFonts w:ascii="宋体" w:hAnsi="宋体" w:cs="宋体"/>
          <w:color w:val="auto"/>
          <w:szCs w:val="21"/>
          <w:highlight w:val="none"/>
        </w:rPr>
      </w:pPr>
    </w:p>
    <w:p>
      <w:pPr>
        <w:tabs>
          <w:tab w:val="left" w:pos="1800"/>
          <w:tab w:val="left" w:pos="5580"/>
        </w:tabs>
        <w:jc w:val="left"/>
        <w:outlineLvl w:val="9"/>
        <w:rPr>
          <w:rFonts w:ascii="宋体" w:hAnsi="宋体" w:cs="宋体"/>
          <w:color w:val="auto"/>
          <w:szCs w:val="21"/>
          <w:highlight w:val="none"/>
        </w:rPr>
      </w:pPr>
    </w:p>
    <w:p>
      <w:pPr>
        <w:outlineLvl w:val="9"/>
        <w:rPr>
          <w:rFonts w:ascii="宋体" w:hAnsi="宋体" w:cs="宋体"/>
          <w:color w:val="auto"/>
          <w:szCs w:val="21"/>
          <w:highlight w:val="none"/>
        </w:rPr>
      </w:pP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名称（加盖公章）</w:t>
      </w:r>
      <w:r>
        <w:rPr>
          <w:rFonts w:hint="eastAsia" w:ascii="宋体" w:hAnsi="宋体" w:cs="宋体"/>
          <w:color w:val="auto"/>
          <w:szCs w:val="21"/>
          <w:highlight w:val="none"/>
          <w:lang w:val="zh-CN"/>
        </w:rPr>
        <w:t>：    ____________</w:t>
      </w:r>
    </w:p>
    <w:p>
      <w:pPr>
        <w:autoSpaceDE w:val="0"/>
        <w:autoSpaceDN w:val="0"/>
        <w:adjustRightInd w:val="0"/>
        <w:snapToGrid w:val="0"/>
        <w:spacing w:before="25" w:after="25" w:line="360" w:lineRule="auto"/>
        <w:outlineLvl w:val="9"/>
        <w:rPr>
          <w:rFonts w:ascii="宋体" w:hAnsi="宋体" w:cs="宋体"/>
          <w:color w:val="auto"/>
          <w:szCs w:val="21"/>
          <w:highlight w:val="none"/>
          <w:lang w:val="zh-CN"/>
        </w:rPr>
      </w:pPr>
      <w:r>
        <w:rPr>
          <w:rFonts w:hint="eastAsia" w:ascii="宋体" w:hAnsi="宋体" w:cs="宋体"/>
          <w:color w:val="auto"/>
          <w:szCs w:val="21"/>
          <w:highlight w:val="none"/>
        </w:rPr>
        <w:t xml:space="preserve">日期：_____年______月______日   </w:t>
      </w:r>
    </w:p>
    <w:p>
      <w:pPr>
        <w:outlineLvl w:val="9"/>
        <w:rPr>
          <w:rFonts w:ascii="宋体" w:hAnsi="宋体" w:cs="宋体"/>
          <w:color w:val="auto"/>
          <w:sz w:val="24"/>
          <w:szCs w:val="20"/>
          <w:highlight w:val="none"/>
        </w:rPr>
      </w:pPr>
      <w:r>
        <w:rPr>
          <w:rFonts w:hint="eastAsia" w:ascii="宋体" w:hAnsi="宋体" w:cs="宋体"/>
          <w:color w:val="auto"/>
          <w:sz w:val="24"/>
          <w:szCs w:val="20"/>
          <w:highlight w:val="none"/>
        </w:rPr>
        <w:br w:type="page"/>
      </w:r>
    </w:p>
    <w:p>
      <w:pPr>
        <w:spacing w:line="600" w:lineRule="auto"/>
        <w:outlineLvl w:val="9"/>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 xml:space="preserve">12  </w:t>
      </w:r>
      <w:r>
        <w:rPr>
          <w:rFonts w:hint="eastAsia" w:ascii="宋体" w:hAnsi="宋体" w:eastAsia="宋体" w:cs="宋体"/>
          <w:b/>
          <w:bCs/>
          <w:color w:val="auto"/>
          <w:sz w:val="24"/>
          <w:szCs w:val="20"/>
          <w:highlight w:val="none"/>
          <w:lang w:eastAsia="zh-CN"/>
        </w:rPr>
        <w:t>谈判文件</w:t>
      </w:r>
      <w:r>
        <w:rPr>
          <w:rFonts w:hint="eastAsia" w:ascii="宋体" w:hAnsi="宋体" w:eastAsia="宋体" w:cs="宋体"/>
          <w:b/>
          <w:bCs/>
          <w:color w:val="auto"/>
          <w:sz w:val="24"/>
          <w:szCs w:val="20"/>
          <w:highlight w:val="none"/>
        </w:rPr>
        <w:t>要求提供或</w:t>
      </w:r>
      <w:r>
        <w:rPr>
          <w:rFonts w:hint="eastAsia" w:ascii="宋体" w:hAnsi="宋体" w:eastAsia="宋体" w:cs="宋体"/>
          <w:b/>
          <w:bCs/>
          <w:color w:val="auto"/>
          <w:sz w:val="24"/>
          <w:szCs w:val="20"/>
          <w:highlight w:val="none"/>
          <w:lang w:eastAsia="zh-CN"/>
        </w:rPr>
        <w:t>供应商</w:t>
      </w:r>
      <w:r>
        <w:rPr>
          <w:rFonts w:hint="eastAsia" w:ascii="宋体" w:hAnsi="宋体" w:eastAsia="宋体" w:cs="宋体"/>
          <w:b/>
          <w:bCs/>
          <w:color w:val="auto"/>
          <w:sz w:val="24"/>
          <w:szCs w:val="20"/>
          <w:highlight w:val="none"/>
        </w:rPr>
        <w:t>认为应附的其他材料</w:t>
      </w:r>
    </w:p>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14"/>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
      </w:pBdr>
      <w:jc w:val="right"/>
    </w:pPr>
    <w:r>
      <w:rPr>
        <w:rFonts w:hint="eastAsia" w:eastAsia="Times New Roman"/>
      </w:rPr>
      <w:drawing>
        <wp:inline distT="0" distB="0" distL="114300" distR="114300">
          <wp:extent cx="1319530" cy="200025"/>
          <wp:effectExtent l="0" t="0" r="13970" b="9525"/>
          <wp:docPr id="7" name="图片 1" descr="hz-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hz-04"/>
                  <pic:cNvPicPr>
                    <a:picLocks noChangeAspect="1"/>
                  </pic:cNvPicPr>
                </pic:nvPicPr>
                <pic:blipFill>
                  <a:blip r:embed="rId1"/>
                  <a:stretch>
                    <a:fillRect/>
                  </a:stretch>
                </pic:blipFill>
                <pic:spPr>
                  <a:xfrm>
                    <a:off x="0" y="0"/>
                    <a:ext cx="1319530" cy="2000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E1BE76"/>
    <w:multiLevelType w:val="singleLevel"/>
    <w:tmpl w:val="C7E1BE76"/>
    <w:lvl w:ilvl="0" w:tentative="0">
      <w:start w:val="3"/>
      <w:numFmt w:val="decimal"/>
      <w:suff w:val="nothing"/>
      <w:lvlText w:val="%1、"/>
      <w:lvlJc w:val="left"/>
    </w:lvl>
  </w:abstractNum>
  <w:abstractNum w:abstractNumId="1">
    <w:nsid w:val="12CA737B"/>
    <w:multiLevelType w:val="singleLevel"/>
    <w:tmpl w:val="12CA737B"/>
    <w:lvl w:ilvl="0" w:tentative="0">
      <w:start w:val="1"/>
      <w:numFmt w:val="decimal"/>
      <w:suff w:val="nothing"/>
      <w:lvlText w:val="%1、"/>
      <w:lvlJc w:val="left"/>
    </w:lvl>
  </w:abstractNum>
  <w:abstractNum w:abstractNumId="2">
    <w:nsid w:val="619F98FF"/>
    <w:multiLevelType w:val="singleLevel"/>
    <w:tmpl w:val="619F98F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E1YzU1ZGYzYzFlZWJiNjE0YzdlODQ5YTQyZDIyNTcifQ=="/>
  </w:docVars>
  <w:rsids>
    <w:rsidRoot w:val="00665DCB"/>
    <w:rsid w:val="00444ACE"/>
    <w:rsid w:val="00475D01"/>
    <w:rsid w:val="00665DCB"/>
    <w:rsid w:val="00C95F38"/>
    <w:rsid w:val="00FF548B"/>
    <w:rsid w:val="01292966"/>
    <w:rsid w:val="01422176"/>
    <w:rsid w:val="02072A78"/>
    <w:rsid w:val="026B74AB"/>
    <w:rsid w:val="030671D3"/>
    <w:rsid w:val="033A0389"/>
    <w:rsid w:val="044332CB"/>
    <w:rsid w:val="04B862AB"/>
    <w:rsid w:val="05267034"/>
    <w:rsid w:val="05786407"/>
    <w:rsid w:val="057C637A"/>
    <w:rsid w:val="059825CD"/>
    <w:rsid w:val="05FB6B00"/>
    <w:rsid w:val="06F16DB8"/>
    <w:rsid w:val="071C5217"/>
    <w:rsid w:val="07BA233A"/>
    <w:rsid w:val="081E1E6D"/>
    <w:rsid w:val="084C1E2D"/>
    <w:rsid w:val="08C54609"/>
    <w:rsid w:val="09095327"/>
    <w:rsid w:val="092A57F7"/>
    <w:rsid w:val="09312D44"/>
    <w:rsid w:val="09D06DF2"/>
    <w:rsid w:val="0A064E13"/>
    <w:rsid w:val="0A0855DF"/>
    <w:rsid w:val="0A3D0C48"/>
    <w:rsid w:val="0A943317"/>
    <w:rsid w:val="0AD33E3F"/>
    <w:rsid w:val="0BAE0408"/>
    <w:rsid w:val="0BE46B89"/>
    <w:rsid w:val="0BF17D71"/>
    <w:rsid w:val="0C152235"/>
    <w:rsid w:val="0C2C2E32"/>
    <w:rsid w:val="0C407D90"/>
    <w:rsid w:val="0C7A73D4"/>
    <w:rsid w:val="0C802A25"/>
    <w:rsid w:val="0CAF268A"/>
    <w:rsid w:val="0CAF61E6"/>
    <w:rsid w:val="0CE573C7"/>
    <w:rsid w:val="0DF73871"/>
    <w:rsid w:val="0E0B38F0"/>
    <w:rsid w:val="0E5E1C72"/>
    <w:rsid w:val="0F08104A"/>
    <w:rsid w:val="0F152C78"/>
    <w:rsid w:val="0F735BF1"/>
    <w:rsid w:val="0FDB6464"/>
    <w:rsid w:val="0FEB39D9"/>
    <w:rsid w:val="100F0307"/>
    <w:rsid w:val="104F21BA"/>
    <w:rsid w:val="10C61D50"/>
    <w:rsid w:val="10C74B74"/>
    <w:rsid w:val="11276C93"/>
    <w:rsid w:val="11511F61"/>
    <w:rsid w:val="12ED4D51"/>
    <w:rsid w:val="13125500"/>
    <w:rsid w:val="13540CE3"/>
    <w:rsid w:val="13E23345"/>
    <w:rsid w:val="141C2D20"/>
    <w:rsid w:val="141F1715"/>
    <w:rsid w:val="147246C9"/>
    <w:rsid w:val="1497412F"/>
    <w:rsid w:val="14A910E0"/>
    <w:rsid w:val="15583EAD"/>
    <w:rsid w:val="15761F97"/>
    <w:rsid w:val="15B36D47"/>
    <w:rsid w:val="15F27701"/>
    <w:rsid w:val="1706734A"/>
    <w:rsid w:val="17231CAA"/>
    <w:rsid w:val="17457E73"/>
    <w:rsid w:val="17E51656"/>
    <w:rsid w:val="17F50191"/>
    <w:rsid w:val="18610CDC"/>
    <w:rsid w:val="18910E95"/>
    <w:rsid w:val="18A92683"/>
    <w:rsid w:val="18C354F3"/>
    <w:rsid w:val="19112BE1"/>
    <w:rsid w:val="19397563"/>
    <w:rsid w:val="1968612C"/>
    <w:rsid w:val="197762DD"/>
    <w:rsid w:val="198A225C"/>
    <w:rsid w:val="19EE6635"/>
    <w:rsid w:val="1A367F46"/>
    <w:rsid w:val="1B100797"/>
    <w:rsid w:val="1B41733C"/>
    <w:rsid w:val="1B610FF3"/>
    <w:rsid w:val="1BB27CB7"/>
    <w:rsid w:val="1D491D3F"/>
    <w:rsid w:val="1D784B4C"/>
    <w:rsid w:val="1D93206D"/>
    <w:rsid w:val="1F093F7F"/>
    <w:rsid w:val="1FE07302"/>
    <w:rsid w:val="204A64FA"/>
    <w:rsid w:val="2060460E"/>
    <w:rsid w:val="20607ACB"/>
    <w:rsid w:val="21802BDB"/>
    <w:rsid w:val="21E922D1"/>
    <w:rsid w:val="241A4435"/>
    <w:rsid w:val="243728BF"/>
    <w:rsid w:val="24727DCD"/>
    <w:rsid w:val="24C16F7E"/>
    <w:rsid w:val="24D1681D"/>
    <w:rsid w:val="24FD2354"/>
    <w:rsid w:val="2507511E"/>
    <w:rsid w:val="250F386E"/>
    <w:rsid w:val="252F1AE8"/>
    <w:rsid w:val="2540611D"/>
    <w:rsid w:val="256E4A38"/>
    <w:rsid w:val="258F2A32"/>
    <w:rsid w:val="26056E99"/>
    <w:rsid w:val="26591245"/>
    <w:rsid w:val="27135897"/>
    <w:rsid w:val="278A08E2"/>
    <w:rsid w:val="27B32BD6"/>
    <w:rsid w:val="27E234BC"/>
    <w:rsid w:val="27F76F67"/>
    <w:rsid w:val="281446BD"/>
    <w:rsid w:val="282615FA"/>
    <w:rsid w:val="283A6E54"/>
    <w:rsid w:val="29237B8C"/>
    <w:rsid w:val="29D55086"/>
    <w:rsid w:val="29DD218D"/>
    <w:rsid w:val="2A88659C"/>
    <w:rsid w:val="2AEB2687"/>
    <w:rsid w:val="2B4F0E68"/>
    <w:rsid w:val="2B736ED6"/>
    <w:rsid w:val="2B822FEC"/>
    <w:rsid w:val="2C394082"/>
    <w:rsid w:val="2CFC5020"/>
    <w:rsid w:val="2D0839C4"/>
    <w:rsid w:val="2DD85145"/>
    <w:rsid w:val="2E4B1E4D"/>
    <w:rsid w:val="2E552C39"/>
    <w:rsid w:val="2EDC5736"/>
    <w:rsid w:val="2EE63891"/>
    <w:rsid w:val="2F343D24"/>
    <w:rsid w:val="2F754C15"/>
    <w:rsid w:val="309D61D2"/>
    <w:rsid w:val="312D57A8"/>
    <w:rsid w:val="313B47B1"/>
    <w:rsid w:val="318555E4"/>
    <w:rsid w:val="31B72F81"/>
    <w:rsid w:val="31D5751A"/>
    <w:rsid w:val="323808A8"/>
    <w:rsid w:val="32460F9B"/>
    <w:rsid w:val="32472899"/>
    <w:rsid w:val="32D14E07"/>
    <w:rsid w:val="330A6D53"/>
    <w:rsid w:val="33385696"/>
    <w:rsid w:val="33F43F1C"/>
    <w:rsid w:val="34732BA2"/>
    <w:rsid w:val="35527ED3"/>
    <w:rsid w:val="357E0FC2"/>
    <w:rsid w:val="363C5643"/>
    <w:rsid w:val="36D641EB"/>
    <w:rsid w:val="374E46CA"/>
    <w:rsid w:val="37DC3A83"/>
    <w:rsid w:val="383E39C2"/>
    <w:rsid w:val="385F7EA5"/>
    <w:rsid w:val="38812374"/>
    <w:rsid w:val="38975BFC"/>
    <w:rsid w:val="38C77A17"/>
    <w:rsid w:val="391C1FA1"/>
    <w:rsid w:val="396C7089"/>
    <w:rsid w:val="399E4B37"/>
    <w:rsid w:val="3A20624E"/>
    <w:rsid w:val="3A7C32FC"/>
    <w:rsid w:val="3AA7481D"/>
    <w:rsid w:val="3BD54EDC"/>
    <w:rsid w:val="3C1C08F2"/>
    <w:rsid w:val="3C8A7F52"/>
    <w:rsid w:val="3C8F5568"/>
    <w:rsid w:val="3D2A703F"/>
    <w:rsid w:val="3D450373"/>
    <w:rsid w:val="3D597924"/>
    <w:rsid w:val="3DC65685"/>
    <w:rsid w:val="3E2D5039"/>
    <w:rsid w:val="3E483C21"/>
    <w:rsid w:val="3E5638B9"/>
    <w:rsid w:val="3E925F20"/>
    <w:rsid w:val="3EE85404"/>
    <w:rsid w:val="3EE967B3"/>
    <w:rsid w:val="3F214DC8"/>
    <w:rsid w:val="3FE118F0"/>
    <w:rsid w:val="3FF658FE"/>
    <w:rsid w:val="406805AA"/>
    <w:rsid w:val="408B6047"/>
    <w:rsid w:val="40B732E0"/>
    <w:rsid w:val="411136C6"/>
    <w:rsid w:val="414A5F02"/>
    <w:rsid w:val="428C2B5A"/>
    <w:rsid w:val="43234C5C"/>
    <w:rsid w:val="43F62371"/>
    <w:rsid w:val="440347B3"/>
    <w:rsid w:val="442A3DC9"/>
    <w:rsid w:val="443A04B0"/>
    <w:rsid w:val="44626E27"/>
    <w:rsid w:val="44BE0720"/>
    <w:rsid w:val="454743B4"/>
    <w:rsid w:val="454B049A"/>
    <w:rsid w:val="45852EFF"/>
    <w:rsid w:val="45B93656"/>
    <w:rsid w:val="464A0752"/>
    <w:rsid w:val="46535859"/>
    <w:rsid w:val="46F60EE0"/>
    <w:rsid w:val="46FC3ED3"/>
    <w:rsid w:val="47330814"/>
    <w:rsid w:val="49153758"/>
    <w:rsid w:val="493A4AAE"/>
    <w:rsid w:val="49753D38"/>
    <w:rsid w:val="4976339E"/>
    <w:rsid w:val="4AC72371"/>
    <w:rsid w:val="4C5A0B33"/>
    <w:rsid w:val="4C675BBA"/>
    <w:rsid w:val="4CFF2296"/>
    <w:rsid w:val="4D3C7046"/>
    <w:rsid w:val="4D5F2E20"/>
    <w:rsid w:val="4DD728CB"/>
    <w:rsid w:val="4DDD74A8"/>
    <w:rsid w:val="4E50267E"/>
    <w:rsid w:val="4ED84B4D"/>
    <w:rsid w:val="4EFD0A57"/>
    <w:rsid w:val="4F082F58"/>
    <w:rsid w:val="4F8B35F7"/>
    <w:rsid w:val="4FA72771"/>
    <w:rsid w:val="4FFF6109"/>
    <w:rsid w:val="501047BA"/>
    <w:rsid w:val="501A2F43"/>
    <w:rsid w:val="50CE104C"/>
    <w:rsid w:val="512A18AC"/>
    <w:rsid w:val="525F5585"/>
    <w:rsid w:val="52946FDD"/>
    <w:rsid w:val="52AA6800"/>
    <w:rsid w:val="52DD25A9"/>
    <w:rsid w:val="534764DA"/>
    <w:rsid w:val="53755060"/>
    <w:rsid w:val="53E15619"/>
    <w:rsid w:val="54425D57"/>
    <w:rsid w:val="547F1F0F"/>
    <w:rsid w:val="54F63F7F"/>
    <w:rsid w:val="552705DC"/>
    <w:rsid w:val="55444540"/>
    <w:rsid w:val="55560EC1"/>
    <w:rsid w:val="563B747D"/>
    <w:rsid w:val="56861332"/>
    <w:rsid w:val="56B977D8"/>
    <w:rsid w:val="56F535F1"/>
    <w:rsid w:val="570404A9"/>
    <w:rsid w:val="573B211D"/>
    <w:rsid w:val="5785783C"/>
    <w:rsid w:val="57D636F7"/>
    <w:rsid w:val="580E15DF"/>
    <w:rsid w:val="58501BF8"/>
    <w:rsid w:val="585711D8"/>
    <w:rsid w:val="58AB5080"/>
    <w:rsid w:val="58BF0B2C"/>
    <w:rsid w:val="58FD7914"/>
    <w:rsid w:val="592866D1"/>
    <w:rsid w:val="596516D3"/>
    <w:rsid w:val="59B125A8"/>
    <w:rsid w:val="59B835C3"/>
    <w:rsid w:val="5ADD173D"/>
    <w:rsid w:val="5B2543C3"/>
    <w:rsid w:val="5B392E17"/>
    <w:rsid w:val="5BA1276A"/>
    <w:rsid w:val="5C425CFC"/>
    <w:rsid w:val="5C49708A"/>
    <w:rsid w:val="5C6739B4"/>
    <w:rsid w:val="5C9865B3"/>
    <w:rsid w:val="5CAB2F9C"/>
    <w:rsid w:val="5D5B5CB9"/>
    <w:rsid w:val="5DAB5B22"/>
    <w:rsid w:val="5E870FAD"/>
    <w:rsid w:val="5E8A398A"/>
    <w:rsid w:val="5E8F2D4E"/>
    <w:rsid w:val="5E9A1E1F"/>
    <w:rsid w:val="5F7E34EF"/>
    <w:rsid w:val="5F862600"/>
    <w:rsid w:val="5FE5356E"/>
    <w:rsid w:val="60280F03"/>
    <w:rsid w:val="602A71D2"/>
    <w:rsid w:val="6049134D"/>
    <w:rsid w:val="61D513C0"/>
    <w:rsid w:val="620D321D"/>
    <w:rsid w:val="621B3277"/>
    <w:rsid w:val="621C0D9D"/>
    <w:rsid w:val="62426BFF"/>
    <w:rsid w:val="626A1B08"/>
    <w:rsid w:val="627209BD"/>
    <w:rsid w:val="628D3A49"/>
    <w:rsid w:val="63164073"/>
    <w:rsid w:val="63FD21B3"/>
    <w:rsid w:val="64846409"/>
    <w:rsid w:val="648C7F66"/>
    <w:rsid w:val="64915A72"/>
    <w:rsid w:val="64BF3166"/>
    <w:rsid w:val="64FE478A"/>
    <w:rsid w:val="65736F26"/>
    <w:rsid w:val="662661E3"/>
    <w:rsid w:val="66DB1226"/>
    <w:rsid w:val="672F02DF"/>
    <w:rsid w:val="678A0557"/>
    <w:rsid w:val="679D7777"/>
    <w:rsid w:val="67B21351"/>
    <w:rsid w:val="680D3662"/>
    <w:rsid w:val="68D4417F"/>
    <w:rsid w:val="69961435"/>
    <w:rsid w:val="69C40A40"/>
    <w:rsid w:val="6AAE7B4A"/>
    <w:rsid w:val="6ADD6C5E"/>
    <w:rsid w:val="6B521C79"/>
    <w:rsid w:val="6BEC4054"/>
    <w:rsid w:val="6BF41359"/>
    <w:rsid w:val="6C195458"/>
    <w:rsid w:val="6C445178"/>
    <w:rsid w:val="6C661592"/>
    <w:rsid w:val="6C865914"/>
    <w:rsid w:val="6CAA3A48"/>
    <w:rsid w:val="6CB247D7"/>
    <w:rsid w:val="6CCC22D5"/>
    <w:rsid w:val="6D265FA8"/>
    <w:rsid w:val="6D5F1499"/>
    <w:rsid w:val="6D8A12B0"/>
    <w:rsid w:val="6E0B21EF"/>
    <w:rsid w:val="6E7A7E45"/>
    <w:rsid w:val="6ED722D3"/>
    <w:rsid w:val="6EDD3662"/>
    <w:rsid w:val="6F775864"/>
    <w:rsid w:val="70384FF4"/>
    <w:rsid w:val="703D5048"/>
    <w:rsid w:val="70862203"/>
    <w:rsid w:val="70BA00FF"/>
    <w:rsid w:val="70ED2282"/>
    <w:rsid w:val="71962272"/>
    <w:rsid w:val="719646C8"/>
    <w:rsid w:val="71C8684B"/>
    <w:rsid w:val="71CF3736"/>
    <w:rsid w:val="72202805"/>
    <w:rsid w:val="72812C53"/>
    <w:rsid w:val="729D0803"/>
    <w:rsid w:val="72BA43E6"/>
    <w:rsid w:val="72D132C1"/>
    <w:rsid w:val="73734595"/>
    <w:rsid w:val="73EA67FE"/>
    <w:rsid w:val="74123DAE"/>
    <w:rsid w:val="7476258E"/>
    <w:rsid w:val="74886D88"/>
    <w:rsid w:val="75212BB4"/>
    <w:rsid w:val="75F93477"/>
    <w:rsid w:val="76685F07"/>
    <w:rsid w:val="76982C90"/>
    <w:rsid w:val="76EC2FDC"/>
    <w:rsid w:val="770C2283"/>
    <w:rsid w:val="772C162A"/>
    <w:rsid w:val="773432D5"/>
    <w:rsid w:val="77356731"/>
    <w:rsid w:val="7758241F"/>
    <w:rsid w:val="77861337"/>
    <w:rsid w:val="77DE0B76"/>
    <w:rsid w:val="78BB2C66"/>
    <w:rsid w:val="79091C23"/>
    <w:rsid w:val="79652BD2"/>
    <w:rsid w:val="79A02896"/>
    <w:rsid w:val="79B62A46"/>
    <w:rsid w:val="7A4F3378"/>
    <w:rsid w:val="7A5E5F9F"/>
    <w:rsid w:val="7A633C54"/>
    <w:rsid w:val="7A6531D0"/>
    <w:rsid w:val="7A9A3AF1"/>
    <w:rsid w:val="7AD324E9"/>
    <w:rsid w:val="7AE347A6"/>
    <w:rsid w:val="7AF54138"/>
    <w:rsid w:val="7B516234"/>
    <w:rsid w:val="7B560A24"/>
    <w:rsid w:val="7BC2255D"/>
    <w:rsid w:val="7BC9569A"/>
    <w:rsid w:val="7BE73D72"/>
    <w:rsid w:val="7CA73C2D"/>
    <w:rsid w:val="7DBD2FDC"/>
    <w:rsid w:val="7E061F65"/>
    <w:rsid w:val="7E551467"/>
    <w:rsid w:val="7E751B09"/>
    <w:rsid w:val="7E924469"/>
    <w:rsid w:val="7F790FDC"/>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jc w:val="left"/>
      <w:outlineLvl w:val="3"/>
    </w:pPr>
    <w:rPr>
      <w:rFonts w:ascii="Cambria" w:hAnsi="Cambria" w:cs="Cambria"/>
      <w:b/>
      <w:bCs/>
      <w:kern w:val="0"/>
      <w:sz w:val="28"/>
      <w:szCs w:val="28"/>
      <w:lang w:val="zh-CN" w:eastAsia="en-US"/>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1"/>
    <w:next w:val="1"/>
    <w:qFormat/>
    <w:uiPriority w:val="0"/>
    <w:pPr>
      <w:ind w:firstLine="420"/>
    </w:pPr>
  </w:style>
  <w:style w:type="paragraph" w:styleId="4">
    <w:name w:val="Normal Indent"/>
    <w:basedOn w:val="1"/>
    <w:next w:val="1"/>
    <w:qFormat/>
    <w:uiPriority w:val="0"/>
    <w:pPr>
      <w:autoSpaceDE w:val="0"/>
      <w:autoSpaceDN w:val="0"/>
      <w:adjustRightInd w:val="0"/>
      <w:ind w:firstLine="420"/>
      <w:jc w:val="left"/>
    </w:pPr>
    <w:rPr>
      <w:rFonts w:ascii="宋体"/>
      <w:sz w:val="24"/>
    </w:rPr>
  </w:style>
  <w:style w:type="paragraph" w:styleId="7">
    <w:name w:val="table of authorities"/>
    <w:basedOn w:val="1"/>
    <w:next w:val="1"/>
    <w:unhideWhenUsed/>
    <w:qFormat/>
    <w:uiPriority w:val="99"/>
    <w:pPr>
      <w:ind w:left="420" w:leftChars="200"/>
    </w:pPr>
  </w:style>
  <w:style w:type="paragraph" w:styleId="8">
    <w:name w:val="annotation text"/>
    <w:basedOn w:val="1"/>
    <w:unhideWhenUsed/>
    <w:qFormat/>
    <w:uiPriority w:val="99"/>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Body Text Indent"/>
    <w:basedOn w:val="1"/>
    <w:next w:val="1"/>
    <w:unhideWhenUsed/>
    <w:qFormat/>
    <w:uiPriority w:val="0"/>
    <w:pPr>
      <w:spacing w:after="120"/>
      <w:ind w:left="420" w:leftChars="200"/>
    </w:pPr>
  </w:style>
  <w:style w:type="paragraph" w:styleId="11">
    <w:name w:val="index 4"/>
    <w:basedOn w:val="1"/>
    <w:next w:val="1"/>
    <w:qFormat/>
    <w:uiPriority w:val="0"/>
    <w:pPr>
      <w:ind w:left="600" w:leftChars="600"/>
    </w:pPr>
  </w:style>
  <w:style w:type="paragraph" w:styleId="12">
    <w:name w:val="Plain Text"/>
    <w:basedOn w:val="1"/>
    <w:next w:val="4"/>
    <w:qFormat/>
    <w:uiPriority w:val="0"/>
    <w:rPr>
      <w:rFonts w:hint="eastAsia" w:ascii="宋体" w:hAnsi="Courier New"/>
      <w:szCs w:val="20"/>
    </w:rPr>
  </w:style>
  <w:style w:type="paragraph" w:styleId="13">
    <w:name w:val="Balloon Text"/>
    <w:basedOn w:val="1"/>
    <w:link w:val="36"/>
    <w:qFormat/>
    <w:uiPriority w:val="0"/>
    <w:rPr>
      <w:sz w:val="18"/>
      <w:szCs w:val="18"/>
    </w:rPr>
  </w:style>
  <w:style w:type="paragraph" w:styleId="1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left" w:pos="1050"/>
        <w:tab w:val="right" w:leader="dot" w:pos="8937"/>
      </w:tabs>
      <w:spacing w:line="300" w:lineRule="auto"/>
    </w:pPr>
    <w:rPr>
      <w:rFonts w:ascii="宋体" w:hAnsi="宋体"/>
      <w:b/>
      <w:sz w:val="24"/>
    </w:r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正文1"/>
    <w:basedOn w:val="1"/>
    <w:next w:val="1"/>
    <w:qFormat/>
    <w:uiPriority w:val="0"/>
    <w:pPr>
      <w:spacing w:before="120" w:line="360" w:lineRule="auto"/>
      <w:ind w:left="420" w:firstLine="527"/>
    </w:pPr>
    <w:rPr>
      <w:rFonts w:ascii="宋体" w:hAnsi="宋体"/>
    </w:rPr>
  </w:style>
  <w:style w:type="paragraph" w:customStyle="1" w:styleId="22">
    <w:name w:val="图例"/>
    <w:basedOn w:val="1"/>
    <w:qFormat/>
    <w:uiPriority w:val="0"/>
    <w:pPr>
      <w:spacing w:before="120" w:after="120" w:line="360" w:lineRule="auto"/>
      <w:jc w:val="center"/>
    </w:pPr>
    <w:rPr>
      <w:rFonts w:eastAsia="仿宋_GB2312"/>
      <w:b/>
      <w:sz w:val="24"/>
      <w:szCs w:val="20"/>
    </w:rPr>
  </w:style>
  <w:style w:type="paragraph" w:styleId="23">
    <w:name w:val="List Paragraph"/>
    <w:basedOn w:val="1"/>
    <w:qFormat/>
    <w:uiPriority w:val="34"/>
    <w:pPr>
      <w:ind w:firstLine="420" w:firstLineChars="200"/>
    </w:pPr>
    <w:rPr>
      <w:rFonts w:ascii="Calibri" w:hAnsi="Calibri"/>
      <w:szCs w:val="22"/>
    </w:rPr>
  </w:style>
  <w:style w:type="paragraph" w:customStyle="1" w:styleId="24">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
    <w:name w:val="成文日期"/>
    <w:basedOn w:val="1"/>
    <w:qFormat/>
    <w:uiPriority w:val="0"/>
    <w:pPr>
      <w:spacing w:line="570" w:lineRule="exact"/>
      <w:ind w:right="400" w:rightChars="400" w:firstLine="200" w:firstLineChars="200"/>
      <w:jc w:val="right"/>
    </w:pPr>
    <w:rPr>
      <w:rFonts w:ascii="仿宋_GB2312" w:eastAsia="仿宋_GB2312"/>
      <w:sz w:val="32"/>
      <w:szCs w:val="20"/>
    </w:rPr>
  </w:style>
  <w:style w:type="character" w:customStyle="1" w:styleId="26">
    <w:name w:val="font81"/>
    <w:basedOn w:val="18"/>
    <w:qFormat/>
    <w:uiPriority w:val="0"/>
    <w:rPr>
      <w:rFonts w:hint="eastAsia" w:ascii="微软雅黑" w:hAnsi="微软雅黑" w:eastAsia="微软雅黑" w:cs="微软雅黑"/>
      <w:color w:val="000000"/>
      <w:sz w:val="18"/>
      <w:szCs w:val="18"/>
      <w:u w:val="none"/>
    </w:rPr>
  </w:style>
  <w:style w:type="character" w:customStyle="1" w:styleId="27">
    <w:name w:val="font121"/>
    <w:basedOn w:val="18"/>
    <w:qFormat/>
    <w:uiPriority w:val="0"/>
    <w:rPr>
      <w:rFonts w:ascii="微软雅黑" w:hAnsi="微软雅黑" w:eastAsia="微软雅黑" w:cs="微软雅黑"/>
      <w:color w:val="000000"/>
      <w:sz w:val="18"/>
      <w:szCs w:val="18"/>
      <w:u w:val="none"/>
    </w:rPr>
  </w:style>
  <w:style w:type="character" w:customStyle="1" w:styleId="28">
    <w:name w:val="font131"/>
    <w:basedOn w:val="18"/>
    <w:qFormat/>
    <w:uiPriority w:val="0"/>
    <w:rPr>
      <w:rFonts w:ascii="Arial" w:hAnsi="Arial" w:cs="Arial"/>
      <w:color w:val="000000"/>
      <w:sz w:val="18"/>
      <w:szCs w:val="18"/>
      <w:u w:val="none"/>
    </w:rPr>
  </w:style>
  <w:style w:type="paragraph" w:customStyle="1" w:styleId="29">
    <w:name w:val="列表段落1"/>
    <w:basedOn w:val="1"/>
    <w:qFormat/>
    <w:uiPriority w:val="34"/>
    <w:pPr>
      <w:ind w:firstLine="420" w:firstLineChars="200"/>
    </w:pPr>
  </w:style>
  <w:style w:type="paragraph" w:customStyle="1" w:styleId="30">
    <w:name w:val="Default"/>
    <w:qFormat/>
    <w:uiPriority w:val="0"/>
    <w:pPr>
      <w:widowControl w:val="0"/>
      <w:autoSpaceDE w:val="0"/>
      <w:autoSpaceDN w:val="0"/>
      <w:adjustRightInd w:val="0"/>
    </w:pPr>
    <w:rPr>
      <w:rFonts w:ascii="隶书" w:hAnsi="隶书" w:eastAsia="宋体" w:cs="隶书"/>
      <w:color w:val="000000"/>
      <w:sz w:val="24"/>
      <w:szCs w:val="24"/>
      <w:lang w:val="en-US" w:eastAsia="zh-CN" w:bidi="ar-SA"/>
    </w:rPr>
  </w:style>
  <w:style w:type="character" w:customStyle="1" w:styleId="31">
    <w:name w:val="font31"/>
    <w:basedOn w:val="18"/>
    <w:qFormat/>
    <w:uiPriority w:val="0"/>
    <w:rPr>
      <w:rFonts w:hint="eastAsia" w:ascii="宋体" w:hAnsi="宋体" w:eastAsia="宋体" w:cs="宋体"/>
      <w:color w:val="000000"/>
      <w:sz w:val="24"/>
      <w:szCs w:val="24"/>
      <w:u w:val="none"/>
    </w:rPr>
  </w:style>
  <w:style w:type="character" w:customStyle="1" w:styleId="32">
    <w:name w:val="font71"/>
    <w:basedOn w:val="18"/>
    <w:qFormat/>
    <w:uiPriority w:val="0"/>
    <w:rPr>
      <w:rFonts w:hint="eastAsia" w:ascii="宋体" w:hAnsi="宋体" w:eastAsia="宋体" w:cs="宋体"/>
      <w:color w:val="FF0000"/>
      <w:sz w:val="24"/>
      <w:szCs w:val="24"/>
      <w:u w:val="none"/>
    </w:rPr>
  </w:style>
  <w:style w:type="character" w:customStyle="1" w:styleId="33">
    <w:name w:val="font41"/>
    <w:basedOn w:val="18"/>
    <w:qFormat/>
    <w:uiPriority w:val="0"/>
    <w:rPr>
      <w:rFonts w:hint="eastAsia" w:ascii="宋体" w:hAnsi="宋体" w:eastAsia="宋体" w:cs="宋体"/>
      <w:color w:val="000000"/>
      <w:sz w:val="24"/>
      <w:szCs w:val="24"/>
      <w:u w:val="none"/>
    </w:rPr>
  </w:style>
  <w:style w:type="character" w:customStyle="1" w:styleId="34">
    <w:name w:val="font51"/>
    <w:basedOn w:val="18"/>
    <w:qFormat/>
    <w:uiPriority w:val="0"/>
    <w:rPr>
      <w:rFonts w:hint="eastAsia" w:ascii="宋体" w:hAnsi="宋体" w:eastAsia="宋体" w:cs="宋体"/>
      <w:color w:val="FF0000"/>
      <w:sz w:val="24"/>
      <w:szCs w:val="24"/>
      <w:u w:val="none"/>
    </w:rPr>
  </w:style>
  <w:style w:type="character" w:customStyle="1" w:styleId="35">
    <w:name w:val="font112"/>
    <w:basedOn w:val="18"/>
    <w:qFormat/>
    <w:uiPriority w:val="0"/>
    <w:rPr>
      <w:rFonts w:hint="eastAsia" w:ascii="宋体" w:hAnsi="宋体" w:eastAsia="宋体" w:cs="宋体"/>
      <w:color w:val="FF0000"/>
      <w:sz w:val="24"/>
      <w:szCs w:val="24"/>
      <w:u w:val="none"/>
    </w:rPr>
  </w:style>
  <w:style w:type="character" w:customStyle="1" w:styleId="36">
    <w:name w:val="批注框文本 Char"/>
    <w:basedOn w:val="18"/>
    <w:link w:val="13"/>
    <w:qFormat/>
    <w:uiPriority w:val="0"/>
    <w:rPr>
      <w:rFonts w:ascii="Times New Roman" w:hAnsi="Times New Roman" w:eastAsia="宋体" w:cs="Times New Roman"/>
      <w:kern w:val="2"/>
      <w:sz w:val="18"/>
      <w:szCs w:val="18"/>
    </w:rPr>
  </w:style>
  <w:style w:type="paragraph" w:customStyle="1" w:styleId="37">
    <w:name w:val="纯文本3"/>
    <w:basedOn w:val="1"/>
    <w:qFormat/>
    <w:uiPriority w:val="0"/>
    <w:pPr>
      <w:adjustRightInd w:val="0"/>
      <w:textAlignment w:val="baseline"/>
    </w:pPr>
    <w:rPr>
      <w:rFonts w:ascii="宋体" w:hAnsi="Courier New"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21948</Words>
  <Characters>23412</Characters>
  <Lines>99</Lines>
  <Paragraphs>96</Paragraphs>
  <TotalTime>22</TotalTime>
  <ScaleCrop>false</ScaleCrop>
  <LinksUpToDate>false</LinksUpToDate>
  <CharactersWithSpaces>24772</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2022-06-05T03:53:00Z</dcterms:created>
  <dc:creator>HQ</dc:creator>
  <cp:lastModifiedBy>王文丹</cp:lastModifiedBy>
  <dcterms:modified xsi:type="dcterms:W3CDTF">2023-06-05T05:36:19Z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BE0961BD8EED483B976A6763D0F3C351</vt:lpwstr>
  </property>
</Properties>
</file>